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Times New Roman" w:hAnsi="Times New Roman" w:cs="Times New Roman"/>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达州市</w:t>
      </w:r>
      <w:r>
        <w:rPr>
          <w:rFonts w:ascii="方正小标宋简体" w:hAnsi="方正小标宋简体" w:eastAsia="方正小标宋简体" w:cs="方正小标宋简体"/>
          <w:b w:val="0"/>
          <w:bCs/>
          <w:i w:val="0"/>
          <w:caps w:val="0"/>
          <w:color w:val="333333"/>
          <w:spacing w:val="0"/>
          <w:sz w:val="44"/>
          <w:szCs w:val="44"/>
          <w:shd w:val="clear" w:fill="FFFFFF"/>
        </w:rPr>
        <w:t>商务</w:t>
      </w:r>
      <w:r>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t>局</w:t>
      </w:r>
      <w:r>
        <w:rPr>
          <w:rFonts w:ascii="方正小标宋简体" w:hAnsi="方正小标宋简体" w:eastAsia="方正小标宋简体" w:cs="方正小标宋简体"/>
          <w:b w:val="0"/>
          <w:bCs/>
          <w:i w:val="0"/>
          <w:caps w:val="0"/>
          <w:color w:val="333333"/>
          <w:spacing w:val="0"/>
          <w:sz w:val="44"/>
          <w:szCs w:val="44"/>
          <w:shd w:val="clear" w:fill="FFFFFF"/>
        </w:rPr>
        <w:t>行政权力事项清单</w:t>
      </w:r>
    </w:p>
    <w:p>
      <w:pPr>
        <w:pStyle w:val="2"/>
        <w:keepNext w:val="0"/>
        <w:keepLines w:val="0"/>
        <w:pageBreakBefore w:val="0"/>
        <w:widowControl/>
        <w:suppressLineNumbers w:val="0"/>
        <w:shd w:val="clear" w:fill="FFFFFF"/>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auto"/>
        <w:rPr>
          <w:rFonts w:hint="default" w:ascii="Times New Roman" w:hAnsi="Times New Roman" w:cs="Times New Roman"/>
          <w:b w:val="0"/>
          <w:bCs/>
          <w:i w:val="0"/>
          <w:caps w:val="0"/>
          <w:color w:val="333333"/>
          <w:spacing w:val="0"/>
          <w:sz w:val="44"/>
          <w:szCs w:val="44"/>
        </w:rPr>
      </w:pPr>
      <w:r>
        <w:rPr>
          <w:rFonts w:hint="eastAsia" w:ascii="方正小标宋简体" w:hAnsi="方正小标宋简体" w:eastAsia="方正小标宋简体" w:cs="方正小标宋简体"/>
          <w:b w:val="0"/>
          <w:bCs/>
          <w:i w:val="0"/>
          <w:caps w:val="0"/>
          <w:color w:val="333333"/>
          <w:spacing w:val="0"/>
          <w:sz w:val="44"/>
          <w:szCs w:val="44"/>
          <w:shd w:val="clear" w:fill="FFFFFF"/>
        </w:rPr>
        <w:t>（2024年第二版）</w:t>
      </w:r>
    </w:p>
    <w:tbl>
      <w:tblPr>
        <w:tblStyle w:val="3"/>
        <w:tblW w:w="877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497"/>
        <w:gridCol w:w="717"/>
        <w:gridCol w:w="1077"/>
        <w:gridCol w:w="3052"/>
        <w:gridCol w:w="423"/>
        <w:gridCol w:w="423"/>
        <w:gridCol w:w="444"/>
        <w:gridCol w:w="21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 w:hRule="atLeast"/>
          <w:tblHeader/>
          <w:jc w:val="center"/>
        </w:trPr>
        <w:tc>
          <w:tcPr>
            <w:tcW w:w="497"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ascii="黑体" w:hAnsi="宋体" w:eastAsia="黑体" w:cs="黑体"/>
                <w:b/>
                <w:i w:val="0"/>
                <w:caps w:val="0"/>
                <w:color w:val="333333"/>
                <w:spacing w:val="0"/>
                <w:sz w:val="21"/>
                <w:szCs w:val="21"/>
              </w:rPr>
              <w:t>序号</w:t>
            </w:r>
          </w:p>
        </w:tc>
        <w:tc>
          <w:tcPr>
            <w:tcW w:w="717"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编号</w:t>
            </w:r>
          </w:p>
        </w:tc>
        <w:tc>
          <w:tcPr>
            <w:tcW w:w="1077"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权力</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类型</w:t>
            </w:r>
          </w:p>
        </w:tc>
        <w:tc>
          <w:tcPr>
            <w:tcW w:w="3052"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权力名称</w:t>
            </w:r>
          </w:p>
        </w:tc>
        <w:tc>
          <w:tcPr>
            <w:tcW w:w="1290"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行使层级</w:t>
            </w:r>
          </w:p>
        </w:tc>
        <w:tc>
          <w:tcPr>
            <w:tcW w:w="2142" w:type="dxa"/>
            <w:vMerge w:val="restart"/>
            <w:tcBorders>
              <w:top w:val="single" w:color="auto" w:sz="8" w:space="0"/>
              <w:left w:val="nil"/>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tblHeader/>
          <w:jc w:val="center"/>
        </w:trPr>
        <w:tc>
          <w:tcPr>
            <w:tcW w:w="497"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240" w:lineRule="auto"/>
              <w:ind w:left="0"/>
              <w:jc w:val="center"/>
              <w:rPr>
                <w:rFonts w:hint="eastAsia" w:ascii="宋体" w:hAnsi="宋体" w:eastAsia="宋体" w:cs="宋体"/>
                <w:i w:val="0"/>
                <w:caps w:val="0"/>
                <w:color w:val="333333"/>
                <w:spacing w:val="0"/>
                <w:sz w:val="24"/>
                <w:szCs w:val="24"/>
              </w:rPr>
            </w:pPr>
          </w:p>
        </w:tc>
        <w:tc>
          <w:tcPr>
            <w:tcW w:w="717"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240" w:lineRule="auto"/>
              <w:ind w:left="0"/>
              <w:jc w:val="center"/>
              <w:rPr>
                <w:rFonts w:hint="eastAsia" w:ascii="宋体" w:hAnsi="宋体" w:eastAsia="宋体" w:cs="宋体"/>
                <w:i w:val="0"/>
                <w:caps w:val="0"/>
                <w:color w:val="333333"/>
                <w:spacing w:val="0"/>
                <w:sz w:val="24"/>
                <w:szCs w:val="24"/>
              </w:rPr>
            </w:pPr>
          </w:p>
        </w:tc>
        <w:tc>
          <w:tcPr>
            <w:tcW w:w="1077"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240" w:lineRule="auto"/>
              <w:ind w:left="0"/>
              <w:jc w:val="center"/>
              <w:rPr>
                <w:rFonts w:hint="eastAsia" w:ascii="宋体" w:hAnsi="宋体" w:eastAsia="宋体" w:cs="宋体"/>
                <w:i w:val="0"/>
                <w:caps w:val="0"/>
                <w:color w:val="333333"/>
                <w:spacing w:val="0"/>
                <w:sz w:val="24"/>
                <w:szCs w:val="24"/>
              </w:rPr>
            </w:pPr>
          </w:p>
        </w:tc>
        <w:tc>
          <w:tcPr>
            <w:tcW w:w="3052"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widowControl/>
              <w:kinsoku/>
              <w:overflowPunct/>
              <w:topLinePunct w:val="0"/>
              <w:autoSpaceDE/>
              <w:autoSpaceDN/>
              <w:bidi w:val="0"/>
              <w:adjustRightInd/>
              <w:snapToGrid w:val="0"/>
              <w:spacing w:line="240" w:lineRule="auto"/>
              <w:ind w:left="0"/>
              <w:jc w:val="center"/>
              <w:rPr>
                <w:rFonts w:hint="eastAsia" w:ascii="宋体" w:hAnsi="宋体" w:eastAsia="宋体" w:cs="宋体"/>
                <w:i w:val="0"/>
                <w:caps w:val="0"/>
                <w:color w:val="333333"/>
                <w:spacing w:val="0"/>
                <w:sz w:val="24"/>
                <w:szCs w:val="24"/>
              </w:rPr>
            </w:pP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省</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市</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黑体" w:hAnsi="宋体" w:eastAsia="黑体" w:cs="黑体"/>
                <w:b/>
                <w:i w:val="0"/>
                <w:caps w:val="0"/>
                <w:color w:val="333333"/>
                <w:spacing w:val="0"/>
                <w:sz w:val="21"/>
                <w:szCs w:val="21"/>
              </w:rPr>
              <w:t>县</w:t>
            </w:r>
          </w:p>
        </w:tc>
        <w:tc>
          <w:tcPr>
            <w:tcW w:w="2142" w:type="dxa"/>
            <w:vMerge w:val="continue"/>
            <w:tcBorders>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70" w:hRule="atLeast"/>
          <w:jc w:val="center"/>
        </w:trPr>
        <w:tc>
          <w:tcPr>
            <w:tcW w:w="8775" w:type="dxa"/>
            <w:gridSpan w:val="8"/>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行政许可</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〔《四川省行政许可事项清单（2023年版）》〕</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316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行政许可</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从事拍卖业务许可（国家清单第</w:t>
            </w:r>
            <w:r>
              <w:rPr>
                <w:rFonts w:hint="default" w:ascii="Times New Roman" w:hAnsi="Times New Roman" w:eastAsia="宋体" w:cs="Times New Roman"/>
                <w:i w:val="0"/>
                <w:caps w:val="0"/>
                <w:color w:val="333333"/>
                <w:spacing w:val="0"/>
                <w:sz w:val="21"/>
                <w:szCs w:val="21"/>
              </w:rPr>
              <w:t>429</w:t>
            </w:r>
            <w:r>
              <w:rPr>
                <w:rFonts w:hint="eastAsia" w:ascii="方正仿宋简体" w:hAnsi="方正仿宋简体" w:eastAsia="方正仿宋简体" w:cs="方正仿宋简体"/>
                <w:i w:val="0"/>
                <w:caps w:val="0"/>
                <w:color w:val="333333"/>
                <w:spacing w:val="0"/>
                <w:sz w:val="21"/>
                <w:szCs w:val="21"/>
              </w:rPr>
              <w:t>项）</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344</w:t>
            </w:r>
            <w:r>
              <w:rPr>
                <w:rFonts w:hint="eastAsia" w:ascii="宋体" w:hAnsi="宋体" w:eastAsia="宋体" w:cs="宋体"/>
                <w:i w:val="0"/>
                <w:caps w:val="0"/>
                <w:color w:val="0000FF"/>
                <w:spacing w:val="0"/>
                <w:sz w:val="18"/>
                <w:szCs w:val="18"/>
              </w:rPr>
              <w:t>号和川府发〔</w:t>
            </w:r>
            <w:r>
              <w:rPr>
                <w:rFonts w:hint="default" w:ascii="Times New Roman" w:hAnsi="Times New Roman" w:eastAsia="宋体" w:cs="Times New Roman"/>
                <w:i w:val="0"/>
                <w:caps w:val="0"/>
                <w:color w:val="0000FF"/>
                <w:spacing w:val="0"/>
                <w:sz w:val="18"/>
                <w:szCs w:val="18"/>
              </w:rPr>
              <w:t>2022</w:t>
            </w:r>
            <w:r>
              <w:rPr>
                <w:rFonts w:hint="eastAsia" w:ascii="宋体" w:hAnsi="宋体" w:eastAsia="宋体" w:cs="宋体"/>
                <w:i w:val="0"/>
                <w:caps w:val="0"/>
                <w:color w:val="0000FF"/>
                <w:spacing w:val="0"/>
                <w:sz w:val="18"/>
                <w:szCs w:val="18"/>
              </w:rPr>
              <w:t>〕</w:t>
            </w:r>
            <w:r>
              <w:rPr>
                <w:rFonts w:hint="default" w:ascii="Times New Roman" w:hAnsi="Times New Roman" w:eastAsia="宋体" w:cs="Times New Roman"/>
                <w:i w:val="0"/>
                <w:caps w:val="0"/>
                <w:color w:val="0000FF"/>
                <w:spacing w:val="0"/>
                <w:sz w:val="18"/>
                <w:szCs w:val="18"/>
              </w:rPr>
              <w:t>18</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调整为委托成都高新区管委会、天府新区成都管委会、成都市双流区人民政府、成都市青白江区人民政府和中国（四川）自由贸易试验区川南临港片区管委及协同改革先行区所在县（市、区）人民政府、省级以上园区管委会实施；</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18"/>
                <w:szCs w:val="18"/>
              </w:rPr>
              <w:t>2.</w:t>
            </w: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357</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自</w:t>
            </w:r>
            <w:r>
              <w:rPr>
                <w:rFonts w:hint="default" w:ascii="Times New Roman" w:hAnsi="Times New Roman" w:eastAsia="宋体" w:cs="Times New Roman"/>
                <w:i w:val="0"/>
                <w:caps w:val="0"/>
                <w:color w:val="333333"/>
                <w:spacing w:val="0"/>
                <w:sz w:val="18"/>
                <w:szCs w:val="18"/>
              </w:rPr>
              <w:t>2023</w:t>
            </w:r>
            <w:r>
              <w:rPr>
                <w:rFonts w:hint="eastAsia" w:ascii="宋体" w:hAnsi="宋体" w:eastAsia="宋体" w:cs="宋体"/>
                <w:i w:val="0"/>
                <w:caps w:val="0"/>
                <w:color w:val="333333"/>
                <w:spacing w:val="0"/>
                <w:sz w:val="18"/>
                <w:szCs w:val="18"/>
              </w:rPr>
              <w:t>年</w:t>
            </w:r>
            <w:r>
              <w:rPr>
                <w:rFonts w:hint="default" w:ascii="Times New Roman" w:hAnsi="Times New Roman" w:eastAsia="宋体" w:cs="Times New Roman"/>
                <w:i w:val="0"/>
                <w:caps w:val="0"/>
                <w:color w:val="333333"/>
                <w:spacing w:val="0"/>
                <w:sz w:val="18"/>
                <w:szCs w:val="18"/>
              </w:rPr>
              <w:t>12</w:t>
            </w:r>
            <w:r>
              <w:rPr>
                <w:rFonts w:hint="eastAsia" w:ascii="宋体" w:hAnsi="宋体" w:eastAsia="宋体" w:cs="宋体"/>
                <w:i w:val="0"/>
                <w:caps w:val="0"/>
                <w:color w:val="333333"/>
                <w:spacing w:val="0"/>
                <w:sz w:val="18"/>
                <w:szCs w:val="18"/>
              </w:rPr>
              <w:t>月</w:t>
            </w: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日起，委托成都市和泸州市、德阳市、绵阳市、乐山市、南充市、宜宾市、达州市实施；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320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方正仿宋简体" w:hAnsi="方正仿宋简体" w:eastAsia="方正仿宋简体" w:cs="方正仿宋简体"/>
                <w:i w:val="0"/>
                <w:caps w:val="0"/>
                <w:color w:val="333333"/>
                <w:spacing w:val="0"/>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行政许可</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000000"/>
                <w:spacing w:val="0"/>
                <w:sz w:val="21"/>
                <w:szCs w:val="21"/>
                <w:u w:val="none"/>
              </w:rPr>
              <w:t>对外劳务合作经营资格核准（国家清单第</w:t>
            </w:r>
            <w:r>
              <w:rPr>
                <w:rFonts w:hint="eastAsia" w:ascii="仿宋" w:hAnsi="仿宋" w:eastAsia="仿宋" w:cs="仿宋"/>
                <w:i w:val="0"/>
                <w:caps w:val="0"/>
                <w:color w:val="000000"/>
                <w:spacing w:val="0"/>
                <w:sz w:val="21"/>
                <w:szCs w:val="21"/>
                <w:u w:val="none"/>
              </w:rPr>
              <w:t>440</w:t>
            </w:r>
            <w:r>
              <w:rPr>
                <w:rFonts w:hint="eastAsia" w:ascii="方正仿宋简体" w:hAnsi="方正仿宋简体" w:eastAsia="方正仿宋简体" w:cs="方正仿宋简体"/>
                <w:i w:val="0"/>
                <w:caps w:val="0"/>
                <w:color w:val="000000"/>
                <w:spacing w:val="0"/>
                <w:sz w:val="21"/>
                <w:szCs w:val="21"/>
                <w:u w:val="none"/>
              </w:rPr>
              <w:t>项）</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85" w:hRule="atLeast"/>
          <w:jc w:val="center"/>
        </w:trPr>
        <w:tc>
          <w:tcPr>
            <w:tcW w:w="8775" w:type="dxa"/>
            <w:gridSpan w:val="8"/>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行政处罚</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〔四川省行政权力指导清单（2021年本）〕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2596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对商场、超市等公共场所不采取有效禁烟措施的行政处罚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2597</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对违法经营美容美发业务的行政处罚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2598</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对特许人不具有</w:t>
            </w:r>
            <w:r>
              <w:rPr>
                <w:rFonts w:hint="default" w:ascii="Times New Roman" w:hAnsi="Times New Roman" w:eastAsia="宋体" w:cs="Times New Roman"/>
                <w:i w:val="0"/>
                <w:caps w:val="0"/>
                <w:color w:val="333333"/>
                <w:spacing w:val="0"/>
                <w:sz w:val="21"/>
                <w:szCs w:val="21"/>
              </w:rPr>
              <w:t>2</w:t>
            </w:r>
            <w:r>
              <w:rPr>
                <w:rFonts w:hint="eastAsia" w:ascii="方正仿宋简体" w:hAnsi="方正仿宋简体" w:eastAsia="方正仿宋简体" w:cs="方正仿宋简体"/>
                <w:i w:val="0"/>
                <w:caps w:val="0"/>
                <w:color w:val="333333"/>
                <w:spacing w:val="0"/>
                <w:sz w:val="21"/>
                <w:szCs w:val="21"/>
              </w:rPr>
              <w:t>店</w:t>
            </w:r>
            <w:r>
              <w:rPr>
                <w:rFonts w:hint="default" w:ascii="Times New Roman" w:hAnsi="Times New Roman" w:eastAsia="宋体" w:cs="Times New Roman"/>
                <w:i w:val="0"/>
                <w:caps w:val="0"/>
                <w:color w:val="333333"/>
                <w:spacing w:val="0"/>
                <w:sz w:val="21"/>
                <w:szCs w:val="21"/>
              </w:rPr>
              <w:t>1</w:t>
            </w:r>
            <w:r>
              <w:rPr>
                <w:rFonts w:hint="eastAsia" w:ascii="方正仿宋简体" w:hAnsi="方正仿宋简体" w:eastAsia="方正仿宋简体" w:cs="方正仿宋简体"/>
                <w:i w:val="0"/>
                <w:caps w:val="0"/>
                <w:color w:val="333333"/>
                <w:spacing w:val="0"/>
                <w:sz w:val="21"/>
                <w:szCs w:val="21"/>
              </w:rPr>
              <w:t>年条件从事特许经营活动的行政处罚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2599</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对企业以外的单位和个人作特许人的行政处罚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对特许人首次订立特许经营合同后超期未向商务主管部门备案的行政处罚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6</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2601</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对特许人要求被特许人在订立特许经营合同前支付费用时未按要求说明的行政处罚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7</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2602</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对特许人未按时报送年度订立特许经营合同的行政处罚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8</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2603</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对特许人未依法向被特许人披露相关信息的行政处罚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9</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对违反《洗染业管理办法》相关规定的行政处罚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10</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2605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对零售商或者供应商违反公平交易规定的行政处罚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对对外劳务合作经营企业不按规定缴纳或者补足备用金的行政处罚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2622</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对单用途商业预付卡发卡企业未按规定办理备案的行政处罚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2623</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对单用途商业预付卡发卡企业或售卡企业违反发行与服务相关规定的行政处罚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对单用途商业预付卡发卡企业违反资金管理及业务报告相关规定的行政处罚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15</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对单用途商业预付卡集团发卡企业、品牌发卡企业对其售卡企业疏于管理的行政处罚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357</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自</w:t>
            </w:r>
            <w:r>
              <w:rPr>
                <w:rFonts w:hint="default" w:ascii="Times New Roman" w:hAnsi="Times New Roman" w:eastAsia="宋体" w:cs="Times New Roman"/>
                <w:i w:val="0"/>
                <w:caps w:val="0"/>
                <w:color w:val="333333"/>
                <w:spacing w:val="0"/>
                <w:sz w:val="18"/>
                <w:szCs w:val="18"/>
              </w:rPr>
              <w:t>2023</w:t>
            </w:r>
            <w:r>
              <w:rPr>
                <w:rFonts w:hint="eastAsia" w:ascii="宋体" w:hAnsi="宋体" w:eastAsia="宋体" w:cs="宋体"/>
                <w:i w:val="0"/>
                <w:caps w:val="0"/>
                <w:color w:val="333333"/>
                <w:spacing w:val="0"/>
                <w:sz w:val="18"/>
                <w:szCs w:val="18"/>
              </w:rPr>
              <w:t>年</w:t>
            </w:r>
            <w:r>
              <w:rPr>
                <w:rFonts w:hint="default" w:ascii="Times New Roman" w:hAnsi="Times New Roman" w:eastAsia="宋体" w:cs="Times New Roman"/>
                <w:i w:val="0"/>
                <w:caps w:val="0"/>
                <w:color w:val="333333"/>
                <w:spacing w:val="0"/>
                <w:sz w:val="18"/>
                <w:szCs w:val="18"/>
              </w:rPr>
              <w:t>12</w:t>
            </w:r>
            <w:r>
              <w:rPr>
                <w:rFonts w:hint="eastAsia" w:ascii="宋体" w:hAnsi="宋体" w:eastAsia="宋体" w:cs="宋体"/>
                <w:i w:val="0"/>
                <w:caps w:val="0"/>
                <w:color w:val="333333"/>
                <w:spacing w:val="0"/>
                <w:sz w:val="18"/>
                <w:szCs w:val="18"/>
              </w:rPr>
              <w:t>月</w:t>
            </w: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日起，委托成都市和泸州市、德阳市、绵阳市、乐山市、南充市、宜宾市、达州市实施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16</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对单用途商业预付卡集团发卡企业、品牌发卡企业和规模发卡企业未建立业务处理系统，发生重大或不可恢复的技术故障，造成重大损失的行政处罚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17</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2627</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对违反《家电维修服务业管理办法》相关规定的行政处罚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18</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2628</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对家庭服务机构违反经营规范的行政处罚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19</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2629</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对家庭服务机构未按要求订立家庭服务合同、拒绝家庭服务员获取家庭服务合同的行政处罚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7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20</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对家庭服务机构未按要求建立工作档案、跟踪管理制度的行政处罚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2631</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对家庭服务机构未按要求提供信息的行政处罚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2632</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对家庭服务机构未公开服务项目、收费标准和投诉监督电话的行政处罚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2633</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对经营者销售禁止流通的旧电器电子产品的行政处罚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对经营者收购禁止流通的旧电器电子产品的行政处罚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25</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对经营者和旧电器电子产品市场不配合商务主管部门监督检查的行政处罚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26</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对经营者未设立销售台账，对销售情况进行如实、准确记录的行政处罚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27</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2637</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对经营者销售旧电器电子产品时，未向购买者明示产品质量性能状况、主要部件维修、翻新等有关情况的行政处罚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28</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2638</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对待售的旧电器电子产品未在显著位置标识为旧货的行政处罚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29</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2639</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对经营者将在流通过程中获得的机关、企（事）业单位及个人信息用于与旧电器电子产品流通活动无关的领域的行政处罚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1"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30</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对旧电器电子产品市场未建立旧电器电子经营者档案的行政处罚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2641</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对经营者未建立旧电器电子产品档案资料的行政处罚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2642</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对经营者收购旧电器电子产品未对收购产品进行登记的行政处罚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default"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46"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2643</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对以商务、旅游、留学等名义组织劳务人员赴国外工作、允许其他单位或者个人以本企业的名义组织劳务人员赴国外工作、组织劳务人员赴国外从事与赌博、色情活动相关的行政处罚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7"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对未安排劳务人员接受培训，组织劳务人员赴国外工作、未按规定为劳务人员购买在国外工作期间的人身意外伤害保险、未按规定安排随行管理人员的行政处罚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35</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对未依法订立劳务合作合同，组织劳务人员赴国外工作及在国外发生突发事件时不及时处理、停止开展对外劳务合作，未对其派出的尚在国外工作的劳务人员作出安排的行政处罚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1"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36</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对对外劳务合作经营企业未依法履行备案义务的行政处罚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37</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2647</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对违反《餐饮业经营管理办法（试行）》相关规定的行政处罚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6"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38</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2648</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对零售商促销行为违反《零售商促销行为管理办法》相关规定的行政处罚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9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39</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2649</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对市场经营者违反《商品现货市场交易特别规定（试行）》相关规定的行政处罚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40</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对违反《生活必需品市场供应应急管理办法》相关规定的行政处罚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2651</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对主办方展会期间知识产权保护不力的行政处罚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2652</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对汽车经营主体违反《汽车销售管理办法》相关规定的行政处罚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0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对未取得资质认定，擅自从事报废机动车回收拆解活动的行政处罚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r>
              <w:rPr>
                <w:rFonts w:hint="eastAsia" w:ascii="宋体" w:hAnsi="宋体" w:eastAsia="宋体" w:cs="宋体"/>
                <w:i w:val="0"/>
                <w:caps w:val="0"/>
                <w:color w:val="333333"/>
                <w:spacing w:val="0"/>
                <w:sz w:val="18"/>
                <w:szCs w:val="18"/>
              </w:rPr>
              <w:t>视案情会同公安、市场监管等部门协同分工施行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对回收拆解企业涂改、出租、出借或者以其他形式非法转让《资质认定书》的行政处罚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45</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2656</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对回收拆解企业未按照要求备案分支机构、回收拆解企业的分支机构拆解报废机动车的行政处罚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46</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2657</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对回收拆解企业违规开具或者发放《报废机动车回收证明》，或者未按规定对已出具《报废机动车回收证明》的报废机动车进行拆解的行政处罚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47</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2659</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spacing w:val="-11"/>
                <w:kern w:val="0"/>
                <w:sz w:val="21"/>
                <w:szCs w:val="21"/>
                <w:lang w:val="en-US" w:eastAsia="zh-CN" w:bidi="ar"/>
              </w:rPr>
            </w:pPr>
            <w:r>
              <w:rPr>
                <w:rFonts w:hint="eastAsia" w:ascii="方正仿宋简体" w:hAnsi="方正仿宋简体" w:eastAsia="方正仿宋简体" w:cs="方正仿宋简体"/>
                <w:i w:val="0"/>
                <w:caps w:val="0"/>
                <w:color w:val="333333"/>
                <w:spacing w:val="-11"/>
                <w:sz w:val="21"/>
                <w:szCs w:val="21"/>
              </w:rPr>
              <w:t>对回收拆解企业未按照国家有关规定及时向公安机关交通管理部门办理机动车注销登记，并将注销证明转交机动车所有人的行政处罚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48</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2660</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spacing w:val="-6"/>
                <w:kern w:val="0"/>
                <w:sz w:val="21"/>
                <w:szCs w:val="21"/>
                <w:lang w:val="en-US" w:eastAsia="zh-CN" w:bidi="ar"/>
              </w:rPr>
            </w:pPr>
            <w:r>
              <w:rPr>
                <w:rFonts w:hint="eastAsia" w:ascii="方正仿宋简体" w:hAnsi="方正仿宋简体" w:eastAsia="方正仿宋简体" w:cs="方正仿宋简体"/>
                <w:i w:val="0"/>
                <w:caps w:val="0"/>
                <w:color w:val="333333"/>
                <w:spacing w:val="-6"/>
                <w:sz w:val="21"/>
                <w:szCs w:val="21"/>
              </w:rPr>
              <w:t>对回收拆解企业未在其资质认定的拆解经营场地内对回收的报废机动车予以拆解，或者交易报废机动车整车、拼装车的行政处罚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49</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2661</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对回收拆解企业未建立生产经营全覆盖的电子监控系统，或者录像保存不足</w:t>
            </w:r>
            <w:r>
              <w:rPr>
                <w:rFonts w:hint="default" w:ascii="Times New Roman" w:hAnsi="Times New Roman" w:eastAsia="宋体" w:cs="Times New Roman"/>
                <w:i w:val="0"/>
                <w:caps w:val="0"/>
                <w:color w:val="333333"/>
                <w:spacing w:val="0"/>
                <w:sz w:val="21"/>
                <w:szCs w:val="21"/>
              </w:rPr>
              <w:t>1</w:t>
            </w:r>
            <w:r>
              <w:rPr>
                <w:rFonts w:hint="eastAsia" w:ascii="方正仿宋简体" w:hAnsi="方正仿宋简体" w:eastAsia="方正仿宋简体" w:cs="方正仿宋简体"/>
                <w:i w:val="0"/>
                <w:caps w:val="0"/>
                <w:color w:val="333333"/>
                <w:spacing w:val="0"/>
                <w:sz w:val="21"/>
                <w:szCs w:val="21"/>
              </w:rPr>
              <w:t>年的行政处罚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49"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50</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2663</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对回收拆解企业未按照要求建立报废机动车零部件销售台账并如实记录</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五大总成</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信息并上传信息系统的行政处罚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50"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51</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2664</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r>
              <w:rPr>
                <w:rFonts w:hint="eastAsia" w:ascii="宋体" w:hAnsi="宋体" w:eastAsia="宋体" w:cs="宋体"/>
                <w:i w:val="0"/>
                <w:caps w:val="0"/>
                <w:color w:val="333333"/>
                <w:spacing w:val="0"/>
                <w:sz w:val="18"/>
                <w:szCs w:val="18"/>
              </w:rPr>
              <w:t>会同经济和信息化部门共同实施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52</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2665</w:t>
            </w: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对回收拆解企业出售的报废机动车</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五大总成</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及其他零部件不符合相关要求，回收拆解企业将报废机动车</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五大总成</w:t>
            </w:r>
            <w:r>
              <w:rPr>
                <w:rFonts w:hint="default" w:ascii="Times New Roman" w:hAnsi="Times New Roman" w:eastAsia="宋体" w:cs="Times New Roman"/>
                <w:i w:val="0"/>
                <w:caps w:val="0"/>
                <w:color w:val="333333"/>
                <w:spacing w:val="0"/>
                <w:sz w:val="21"/>
                <w:szCs w:val="21"/>
              </w:rPr>
              <w:t>”</w:t>
            </w:r>
            <w:r>
              <w:rPr>
                <w:rFonts w:hint="eastAsia" w:ascii="方正仿宋简体" w:hAnsi="方正仿宋简体" w:eastAsia="方正仿宋简体" w:cs="方正仿宋简体"/>
                <w:i w:val="0"/>
                <w:caps w:val="0"/>
                <w:color w:val="333333"/>
                <w:spacing w:val="0"/>
                <w:sz w:val="21"/>
                <w:szCs w:val="21"/>
              </w:rPr>
              <w:t>及其他零部件出售给或者交予《报废机动车回收管理办法实施细则》第二十八条、第二十九条规定以外企业处理的行政处罚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center"/>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r>
              <w:rPr>
                <w:rFonts w:hint="eastAsia" w:ascii="宋体" w:hAnsi="宋体" w:eastAsia="宋体" w:cs="宋体"/>
                <w:i w:val="0"/>
                <w:caps w:val="0"/>
                <w:color w:val="333333"/>
                <w:spacing w:val="0"/>
                <w:sz w:val="18"/>
                <w:szCs w:val="18"/>
              </w:rPr>
              <w:t>属地商务部门牵头，视案情会同市场监管等部门施行</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6"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53</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对商务领域经营者未遵守禁止、限制使用一次性塑料制品有关规定的行政处罚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57" w:hRule="atLeast"/>
          <w:jc w:val="center"/>
        </w:trPr>
        <w:tc>
          <w:tcPr>
            <w:tcW w:w="49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firstLine="0"/>
              <w:jc w:val="center"/>
              <w:textAlignment w:val="center"/>
              <w:rPr>
                <w:rFonts w:hint="eastAsia" w:ascii="Times New Roman" w:hAnsi="Times New Roman" w:eastAsia="宋体" w:cs="Times New Roman"/>
                <w:sz w:val="21"/>
                <w:szCs w:val="21"/>
                <w:lang w:eastAsia="zh-CN"/>
              </w:rPr>
            </w:pPr>
            <w:r>
              <w:rPr>
                <w:rFonts w:hint="default" w:ascii="Times New Roman" w:hAnsi="Times New Roman" w:eastAsia="宋体" w:cs="Times New Roman"/>
                <w:i w:val="0"/>
                <w:caps w:val="0"/>
                <w:color w:val="333333"/>
                <w:spacing w:val="0"/>
                <w:sz w:val="21"/>
                <w:szCs w:val="21"/>
              </w:rPr>
              <w:t>54</w:t>
            </w:r>
          </w:p>
        </w:tc>
        <w:tc>
          <w:tcPr>
            <w:tcW w:w="71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p>
        </w:tc>
        <w:tc>
          <w:tcPr>
            <w:tcW w:w="107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行政处罚</w:t>
            </w:r>
          </w:p>
        </w:tc>
        <w:tc>
          <w:tcPr>
            <w:tcW w:w="305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对商务领域有关经营者未按照有关要求报告一次性塑料制品使用情况的行政处罚</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eastAsia" w:ascii="Times New Roman" w:hAnsi="Times New Roman" w:cs="Times New Roman" w:eastAsiaTheme="minorEastAsia"/>
                <w:kern w:val="0"/>
                <w:sz w:val="21"/>
                <w:szCs w:val="21"/>
                <w:lang w:val="en-US" w:eastAsia="zh-CN" w:bidi="ar"/>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55" w:hRule="atLeast"/>
          <w:jc w:val="center"/>
        </w:trPr>
        <w:tc>
          <w:tcPr>
            <w:tcW w:w="8775" w:type="dxa"/>
            <w:gridSpan w:val="8"/>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bookmarkStart w:id="0" w:name="_GoBack"/>
            <w:bookmarkEnd w:id="0"/>
            <w:r>
              <w:rPr>
                <w:rFonts w:hint="eastAsia" w:ascii="宋体" w:hAnsi="宋体" w:eastAsia="宋体" w:cs="宋体"/>
                <w:b/>
                <w:i w:val="0"/>
                <w:caps w:val="0"/>
                <w:color w:val="333333"/>
                <w:spacing w:val="0"/>
                <w:sz w:val="24"/>
                <w:szCs w:val="24"/>
              </w:rPr>
              <w:t>行政确认</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〔四川省行政权力指导清单（2021年本）〕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5"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47</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宋体" w:hAnsi="宋体" w:eastAsia="宋体" w:cs="宋体"/>
                <w:i w:val="0"/>
                <w:caps w:val="0"/>
                <w:color w:val="333333"/>
                <w:spacing w:val="0"/>
                <w:sz w:val="21"/>
                <w:szCs w:val="21"/>
              </w:rPr>
              <w:t>行政确认</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宋体" w:hAnsi="宋体" w:eastAsia="宋体" w:cs="宋体"/>
                <w:i w:val="0"/>
                <w:caps w:val="0"/>
                <w:color w:val="333333"/>
                <w:spacing w:val="0"/>
                <w:sz w:val="21"/>
                <w:szCs w:val="21"/>
              </w:rPr>
              <w:t>二手车交易市场是否符合规划的确认</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8" w:hRule="atLeast"/>
          <w:jc w:val="center"/>
        </w:trPr>
        <w:tc>
          <w:tcPr>
            <w:tcW w:w="8775" w:type="dxa"/>
            <w:gridSpan w:val="8"/>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30"/>
                <w:szCs w:val="30"/>
              </w:rPr>
              <w:t>行政检查</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1"/>
                <w:szCs w:val="21"/>
              </w:rPr>
              <w:t>〔四川省行政权力指导清单（2021年本）〕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49"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172</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对对外劳务合作经营企业的监督检查（含年审）</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32"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173</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对汽车销售及其相关服务活动的检查</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3</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174</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直销企业服务网点核查</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4</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175</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拍卖企业年度核查</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依据省政府令第</w:t>
            </w:r>
            <w:r>
              <w:rPr>
                <w:rFonts w:hint="default" w:ascii="Times New Roman" w:hAnsi="Times New Roman" w:eastAsia="宋体" w:cs="Times New Roman"/>
                <w:i w:val="0"/>
                <w:caps w:val="0"/>
                <w:color w:val="333333"/>
                <w:spacing w:val="0"/>
                <w:sz w:val="18"/>
                <w:szCs w:val="18"/>
              </w:rPr>
              <w:t>332</w:t>
            </w:r>
            <w:r>
              <w:rPr>
                <w:rFonts w:hint="eastAsia" w:ascii="宋体" w:hAnsi="宋体" w:eastAsia="宋体" w:cs="宋体"/>
                <w:i w:val="0"/>
                <w:caps w:val="0"/>
                <w:color w:val="333333"/>
                <w:spacing w:val="0"/>
                <w:sz w:val="18"/>
                <w:szCs w:val="18"/>
              </w:rPr>
              <w:t>号，委托成都高新区管委会、天府新区成都管委会、成都市双流区人民政府、成都市青白江区人民政府和中国</w:t>
            </w:r>
            <w:r>
              <w:rPr>
                <w:rFonts w:hint="default" w:ascii="Times New Roman" w:hAnsi="Times New Roman" w:eastAsia="宋体" w:cs="Times New Roman"/>
                <w:i w:val="0"/>
                <w:caps w:val="0"/>
                <w:color w:val="333333"/>
                <w:spacing w:val="0"/>
                <w:sz w:val="18"/>
                <w:szCs w:val="18"/>
              </w:rPr>
              <w:t>(</w:t>
            </w:r>
            <w:r>
              <w:rPr>
                <w:rFonts w:hint="eastAsia" w:ascii="宋体" w:hAnsi="宋体" w:eastAsia="宋体" w:cs="宋体"/>
                <w:i w:val="0"/>
                <w:caps w:val="0"/>
                <w:color w:val="333333"/>
                <w:spacing w:val="0"/>
                <w:sz w:val="18"/>
                <w:szCs w:val="18"/>
              </w:rPr>
              <w:t>四川</w:t>
            </w:r>
            <w:r>
              <w:rPr>
                <w:rFonts w:hint="default" w:ascii="Times New Roman" w:hAnsi="Times New Roman" w:eastAsia="宋体" w:cs="Times New Roman"/>
                <w:i w:val="0"/>
                <w:caps w:val="0"/>
                <w:color w:val="333333"/>
                <w:spacing w:val="0"/>
                <w:sz w:val="18"/>
                <w:szCs w:val="18"/>
              </w:rPr>
              <w:t>)</w:t>
            </w:r>
            <w:r>
              <w:rPr>
                <w:rFonts w:hint="eastAsia" w:ascii="宋体" w:hAnsi="宋体" w:eastAsia="宋体" w:cs="宋体"/>
                <w:i w:val="0"/>
                <w:caps w:val="0"/>
                <w:color w:val="333333"/>
                <w:spacing w:val="0"/>
                <w:sz w:val="18"/>
                <w:szCs w:val="18"/>
              </w:rPr>
              <w:t>自贸试验区川南临港片区管委会实施</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18"/>
                <w:szCs w:val="18"/>
              </w:rPr>
              <w:t>2.</w:t>
            </w: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357</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，自</w:t>
            </w:r>
            <w:r>
              <w:rPr>
                <w:rFonts w:hint="default" w:ascii="Times New Roman" w:hAnsi="Times New Roman" w:eastAsia="宋体" w:cs="Times New Roman"/>
                <w:i w:val="0"/>
                <w:caps w:val="0"/>
                <w:color w:val="333333"/>
                <w:spacing w:val="0"/>
                <w:sz w:val="18"/>
                <w:szCs w:val="18"/>
              </w:rPr>
              <w:t>2023</w:t>
            </w:r>
            <w:r>
              <w:rPr>
                <w:rFonts w:hint="eastAsia" w:ascii="宋体" w:hAnsi="宋体" w:eastAsia="宋体" w:cs="宋体"/>
                <w:i w:val="0"/>
                <w:caps w:val="0"/>
                <w:color w:val="333333"/>
                <w:spacing w:val="0"/>
                <w:sz w:val="18"/>
                <w:szCs w:val="18"/>
              </w:rPr>
              <w:t>年</w:t>
            </w:r>
            <w:r>
              <w:rPr>
                <w:rFonts w:hint="default" w:ascii="Times New Roman" w:hAnsi="Times New Roman" w:eastAsia="宋体" w:cs="Times New Roman"/>
                <w:i w:val="0"/>
                <w:caps w:val="0"/>
                <w:color w:val="333333"/>
                <w:spacing w:val="0"/>
                <w:sz w:val="18"/>
                <w:szCs w:val="18"/>
              </w:rPr>
              <w:t>12</w:t>
            </w:r>
            <w:r>
              <w:rPr>
                <w:rFonts w:hint="eastAsia" w:ascii="宋体" w:hAnsi="宋体" w:eastAsia="宋体" w:cs="宋体"/>
                <w:i w:val="0"/>
                <w:caps w:val="0"/>
                <w:color w:val="333333"/>
                <w:spacing w:val="0"/>
                <w:sz w:val="18"/>
                <w:szCs w:val="18"/>
              </w:rPr>
              <w:t>月</w:t>
            </w: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日起，委托成都市和泸州市、德阳市、绵阳市、乐山市、南充市、宜宾市、达州市实施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5</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176</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对报废机动车回收拆解活动实施日常监督检查</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285"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6</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eastAsia" w:ascii="Times New Roman" w:hAnsi="Times New Roman" w:cs="Times New Roman" w:eastAsiaTheme="minorEastAsia"/>
                <w:sz w:val="21"/>
                <w:szCs w:val="21"/>
                <w:lang w:eastAsia="zh-CN"/>
              </w:rPr>
            </w:pP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行政检查</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民用爆炸物品销售许可监督管理</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eastAsia" w:ascii="Times New Roman" w:hAnsi="Times New Roman" w:cs="Times New Roman" w:eastAsiaTheme="minorEastAsia"/>
                <w:sz w:val="21"/>
                <w:szCs w:val="21"/>
                <w:lang w:eastAsia="zh-CN"/>
              </w:rPr>
            </w:pPr>
            <w:r>
              <w:rPr>
                <w:rFonts w:hint="eastAsia" w:ascii="Times New Roman" w:hAnsi="Times New Roman" w:cs="Times New Roman"/>
                <w:sz w:val="21"/>
                <w:szCs w:val="21"/>
                <w:lang w:eastAsia="zh-CN"/>
              </w:rPr>
              <w:t>来源于省国防科工办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2" w:hRule="atLeast"/>
          <w:jc w:val="center"/>
        </w:trPr>
        <w:tc>
          <w:tcPr>
            <w:tcW w:w="8775" w:type="dxa"/>
            <w:gridSpan w:val="8"/>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其他行政权力</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rPr>
                <w:rFonts w:hint="default" w:ascii="Times New Roman" w:hAnsi="Times New Roman" w:cs="Times New Roman"/>
                <w:sz w:val="21"/>
                <w:szCs w:val="21"/>
              </w:rPr>
            </w:pPr>
            <w:r>
              <w:rPr>
                <w:rFonts w:hint="eastAsia" w:ascii="宋体" w:hAnsi="宋体" w:eastAsia="宋体" w:cs="宋体"/>
                <w:b/>
                <w:i w:val="0"/>
                <w:caps w:val="0"/>
                <w:color w:val="333333"/>
                <w:spacing w:val="0"/>
                <w:sz w:val="24"/>
                <w:szCs w:val="24"/>
              </w:rPr>
              <w:t>〔四川省行政权力指导清单（2021年本）〕</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1</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202</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自由进出口技术合同登记</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委托自贡、攀枝花、内江、广安、雅安、眉山、资阳市商务主管部门办理</w:t>
            </w:r>
          </w:p>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18"/>
                <w:szCs w:val="18"/>
              </w:rPr>
              <w:t>2..</w:t>
            </w: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357</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，自</w:t>
            </w:r>
            <w:r>
              <w:rPr>
                <w:rFonts w:hint="default" w:ascii="Times New Roman" w:hAnsi="Times New Roman" w:eastAsia="宋体" w:cs="Times New Roman"/>
                <w:i w:val="0"/>
                <w:caps w:val="0"/>
                <w:color w:val="333333"/>
                <w:spacing w:val="0"/>
                <w:sz w:val="18"/>
                <w:szCs w:val="18"/>
              </w:rPr>
              <w:t>2023</w:t>
            </w:r>
            <w:r>
              <w:rPr>
                <w:rFonts w:hint="eastAsia" w:ascii="宋体" w:hAnsi="宋体" w:eastAsia="宋体" w:cs="宋体"/>
                <w:i w:val="0"/>
                <w:caps w:val="0"/>
                <w:color w:val="333333"/>
                <w:spacing w:val="0"/>
                <w:sz w:val="18"/>
                <w:szCs w:val="18"/>
              </w:rPr>
              <w:t>年</w:t>
            </w:r>
            <w:r>
              <w:rPr>
                <w:rFonts w:hint="default" w:ascii="Times New Roman" w:hAnsi="Times New Roman" w:eastAsia="宋体" w:cs="Times New Roman"/>
                <w:i w:val="0"/>
                <w:caps w:val="0"/>
                <w:color w:val="333333"/>
                <w:spacing w:val="0"/>
                <w:sz w:val="18"/>
                <w:szCs w:val="18"/>
              </w:rPr>
              <w:t>12</w:t>
            </w:r>
            <w:r>
              <w:rPr>
                <w:rFonts w:hint="eastAsia" w:ascii="宋体" w:hAnsi="宋体" w:eastAsia="宋体" w:cs="宋体"/>
                <w:i w:val="0"/>
                <w:caps w:val="0"/>
                <w:color w:val="333333"/>
                <w:spacing w:val="0"/>
                <w:sz w:val="18"/>
                <w:szCs w:val="18"/>
              </w:rPr>
              <w:t>月</w:t>
            </w: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日起，下放成都市和泸州市、德阳市、绵阳市、乐山市、南充市、宜宾市、达州市实施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804"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204</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对外劳务合作备用金核定、收取、动用、退补、管理等</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i w:val="0"/>
                <w:caps w:val="0"/>
                <w:color w:val="0000FF"/>
                <w:spacing w:val="0"/>
                <w:sz w:val="18"/>
                <w:szCs w:val="18"/>
              </w:rPr>
              <w:t>依职权类行政权力事项</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3</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206</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直销企业服务网点方案审查</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i w:val="0"/>
                <w:caps w:val="0"/>
                <w:color w:val="333333"/>
                <w:spacing w:val="0"/>
                <w:sz w:val="18"/>
                <w:szCs w:val="18"/>
              </w:rPr>
              <w:t>暂停</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3"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4</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207</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零售商促销备案</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5</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208</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商业特许经营备案</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textAlignment w:val="center"/>
              <w:rPr>
                <w:rFonts w:hint="default" w:ascii="Times New Roman" w:hAnsi="Times New Roman" w:cs="Times New Roman"/>
                <w:sz w:val="21"/>
                <w:szCs w:val="21"/>
              </w:rPr>
            </w:pPr>
            <w:r>
              <w:rPr>
                <w:rFonts w:hint="eastAsia" w:ascii="宋体" w:hAnsi="宋体" w:eastAsia="宋体" w:cs="宋体"/>
                <w:i w:val="0"/>
                <w:caps w:val="0"/>
                <w:color w:val="0000FF"/>
                <w:spacing w:val="0"/>
                <w:sz w:val="18"/>
                <w:szCs w:val="18"/>
              </w:rPr>
              <w:t>依据省政府令第</w:t>
            </w:r>
            <w:r>
              <w:rPr>
                <w:rFonts w:hint="default" w:ascii="Times New Roman" w:hAnsi="Times New Roman" w:eastAsia="宋体" w:cs="Times New Roman"/>
                <w:i w:val="0"/>
                <w:caps w:val="0"/>
                <w:color w:val="0000FF"/>
                <w:spacing w:val="0"/>
                <w:sz w:val="18"/>
                <w:szCs w:val="18"/>
              </w:rPr>
              <w:t>357</w:t>
            </w:r>
            <w:r>
              <w:rPr>
                <w:rFonts w:hint="eastAsia" w:ascii="宋体" w:hAnsi="宋体" w:eastAsia="宋体" w:cs="宋体"/>
                <w:i w:val="0"/>
                <w:caps w:val="0"/>
                <w:color w:val="0000FF"/>
                <w:spacing w:val="0"/>
                <w:sz w:val="18"/>
                <w:szCs w:val="18"/>
              </w:rPr>
              <w:t>号，</w:t>
            </w:r>
            <w:r>
              <w:rPr>
                <w:rFonts w:hint="eastAsia" w:ascii="宋体" w:hAnsi="宋体" w:eastAsia="宋体" w:cs="宋体"/>
                <w:i w:val="0"/>
                <w:caps w:val="0"/>
                <w:color w:val="333333"/>
                <w:spacing w:val="0"/>
                <w:sz w:val="18"/>
                <w:szCs w:val="18"/>
              </w:rPr>
              <w:t>自</w:t>
            </w:r>
            <w:r>
              <w:rPr>
                <w:rFonts w:hint="default" w:ascii="Times New Roman" w:hAnsi="Times New Roman" w:eastAsia="宋体" w:cs="Times New Roman"/>
                <w:i w:val="0"/>
                <w:caps w:val="0"/>
                <w:color w:val="333333"/>
                <w:spacing w:val="0"/>
                <w:sz w:val="18"/>
                <w:szCs w:val="18"/>
              </w:rPr>
              <w:t>2023</w:t>
            </w:r>
            <w:r>
              <w:rPr>
                <w:rFonts w:hint="eastAsia" w:ascii="宋体" w:hAnsi="宋体" w:eastAsia="宋体" w:cs="宋体"/>
                <w:i w:val="0"/>
                <w:caps w:val="0"/>
                <w:color w:val="333333"/>
                <w:spacing w:val="0"/>
                <w:sz w:val="18"/>
                <w:szCs w:val="18"/>
              </w:rPr>
              <w:t>年</w:t>
            </w:r>
            <w:r>
              <w:rPr>
                <w:rFonts w:hint="default" w:ascii="Times New Roman" w:hAnsi="Times New Roman" w:eastAsia="宋体" w:cs="Times New Roman"/>
                <w:i w:val="0"/>
                <w:caps w:val="0"/>
                <w:color w:val="333333"/>
                <w:spacing w:val="0"/>
                <w:sz w:val="18"/>
                <w:szCs w:val="18"/>
              </w:rPr>
              <w:t>12</w:t>
            </w:r>
            <w:r>
              <w:rPr>
                <w:rFonts w:hint="eastAsia" w:ascii="宋体" w:hAnsi="宋体" w:eastAsia="宋体" w:cs="宋体"/>
                <w:i w:val="0"/>
                <w:caps w:val="0"/>
                <w:color w:val="333333"/>
                <w:spacing w:val="0"/>
                <w:sz w:val="18"/>
                <w:szCs w:val="18"/>
              </w:rPr>
              <w:t>月</w:t>
            </w:r>
            <w:r>
              <w:rPr>
                <w:rFonts w:hint="default" w:ascii="Times New Roman" w:hAnsi="Times New Roman" w:eastAsia="宋体" w:cs="Times New Roman"/>
                <w:i w:val="0"/>
                <w:caps w:val="0"/>
                <w:color w:val="333333"/>
                <w:spacing w:val="0"/>
                <w:sz w:val="18"/>
                <w:szCs w:val="18"/>
              </w:rPr>
              <w:t>1</w:t>
            </w:r>
            <w:r>
              <w:rPr>
                <w:rFonts w:hint="eastAsia" w:ascii="宋体" w:hAnsi="宋体" w:eastAsia="宋体" w:cs="宋体"/>
                <w:i w:val="0"/>
                <w:caps w:val="0"/>
                <w:color w:val="333333"/>
                <w:spacing w:val="0"/>
                <w:sz w:val="18"/>
                <w:szCs w:val="18"/>
              </w:rPr>
              <w:t>日起，将在本省范围内从事商业特许经营活动企业备案委托成都市和泸州市、德阳市、绵阳市、乐山市、南充市、宜宾市、达州市实施</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6</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209</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单用途商业预付卡发卡企业备案</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7</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210</w:t>
            </w: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left"/>
              <w:textAlignment w:val="center"/>
              <w:rPr>
                <w:rFonts w:hint="default" w:ascii="Times New Roman" w:hAnsi="Times New Roman" w:cs="Times New Roman"/>
                <w:sz w:val="21"/>
                <w:szCs w:val="21"/>
              </w:rPr>
            </w:pPr>
            <w:r>
              <w:rPr>
                <w:rFonts w:hint="eastAsia" w:ascii="方正仿宋简体" w:hAnsi="方正仿宋简体" w:eastAsia="方正仿宋简体" w:cs="方正仿宋简体"/>
                <w:i w:val="0"/>
                <w:caps w:val="0"/>
                <w:color w:val="333333"/>
                <w:spacing w:val="0"/>
                <w:sz w:val="21"/>
                <w:szCs w:val="21"/>
              </w:rPr>
              <w:t>洗染业经营者备案</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both"/>
              <w:rPr>
                <w:rFonts w:hint="eastAsia" w:ascii="Times New Roman" w:hAnsi="Times New Roman" w:cs="Times New Roman" w:eastAsiaTheme="minorEastAsia"/>
                <w:sz w:val="21"/>
                <w:szCs w:val="21"/>
                <w:lang w:eastAsia="zh-CN"/>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jc w:val="center"/>
        </w:trPr>
        <w:tc>
          <w:tcPr>
            <w:tcW w:w="49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Times New Roman" w:hAnsi="Times New Roman" w:cs="Times New Roman"/>
                <w:sz w:val="21"/>
                <w:szCs w:val="21"/>
              </w:rPr>
            </w:pPr>
            <w:r>
              <w:rPr>
                <w:rFonts w:hint="default" w:ascii="Times New Roman" w:hAnsi="Times New Roman" w:eastAsia="宋体" w:cs="Times New Roman"/>
                <w:i w:val="0"/>
                <w:caps w:val="0"/>
                <w:color w:val="333333"/>
                <w:spacing w:val="0"/>
                <w:sz w:val="21"/>
                <w:szCs w:val="21"/>
              </w:rPr>
              <w:t>8</w:t>
            </w:r>
          </w:p>
        </w:tc>
        <w:tc>
          <w:tcPr>
            <w:tcW w:w="71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p>
        </w:tc>
        <w:tc>
          <w:tcPr>
            <w:tcW w:w="1077"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其他行政权力</w:t>
            </w:r>
          </w:p>
        </w:tc>
        <w:tc>
          <w:tcPr>
            <w:tcW w:w="305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r>
              <w:rPr>
                <w:rFonts w:hint="eastAsia" w:ascii="方正仿宋简体" w:hAnsi="方正仿宋简体" w:eastAsia="方正仿宋简体" w:cs="方正仿宋简体"/>
                <w:i w:val="0"/>
                <w:caps w:val="0"/>
                <w:color w:val="333333"/>
                <w:spacing w:val="0"/>
                <w:sz w:val="21"/>
                <w:szCs w:val="21"/>
              </w:rPr>
              <w:t>国内企业在境外投资开办企业（金融企业除外）备案</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23"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444"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left"/>
              <w:textAlignment w:val="center"/>
              <w:rPr>
                <w:rFonts w:hint="default" w:ascii="Times New Roman" w:hAnsi="Times New Roman" w:cs="Times New Roman" w:eastAsiaTheme="minorEastAsia"/>
                <w:kern w:val="0"/>
                <w:sz w:val="21"/>
                <w:szCs w:val="21"/>
                <w:lang w:val="en-US" w:eastAsia="zh-CN" w:bidi="ar"/>
              </w:rPr>
            </w:pPr>
            <w:r>
              <w:rPr>
                <w:rFonts w:hint="default" w:ascii="Times New Roman" w:hAnsi="Times New Roman" w:eastAsia="宋体" w:cs="Times New Roman"/>
                <w:i w:val="0"/>
                <w:caps w:val="0"/>
                <w:color w:val="333333"/>
                <w:spacing w:val="0"/>
                <w:sz w:val="21"/>
                <w:szCs w:val="21"/>
              </w:rPr>
              <w:t>×</w:t>
            </w:r>
          </w:p>
        </w:tc>
        <w:tc>
          <w:tcPr>
            <w:tcW w:w="2142"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pageBreakBefore w:val="0"/>
              <w:widowControl/>
              <w:suppressLineNumbers w:val="0"/>
              <w:kinsoku/>
              <w:wordWrap w:val="0"/>
              <w:overflowPunct/>
              <w:topLinePunct w:val="0"/>
              <w:autoSpaceDE/>
              <w:autoSpaceDN/>
              <w:bidi w:val="0"/>
              <w:adjustRightInd/>
              <w:snapToGrid w:val="0"/>
              <w:spacing w:before="0" w:beforeAutospacing="0" w:after="0" w:afterAutospacing="0" w:line="240" w:lineRule="auto"/>
              <w:ind w:left="0" w:leftChars="0" w:right="0" w:rightChars="0"/>
              <w:jc w:val="both"/>
              <w:textAlignment w:val="center"/>
              <w:rPr>
                <w:rFonts w:hint="default" w:ascii="Times New Roman" w:hAnsi="Times New Roman" w:cs="Times New Roman" w:eastAsiaTheme="minorEastAsia"/>
                <w:kern w:val="0"/>
                <w:sz w:val="21"/>
                <w:szCs w:val="21"/>
                <w:lang w:val="en-US" w:eastAsia="zh-CN" w:bidi="ar"/>
              </w:rPr>
            </w:pPr>
            <w:r>
              <w:rPr>
                <w:rFonts w:hint="eastAsia" w:ascii="宋体" w:hAnsi="宋体" w:eastAsia="宋体" w:cs="宋体"/>
                <w:i w:val="0"/>
                <w:caps w:val="0"/>
                <w:color w:val="0000FF"/>
                <w:spacing w:val="0"/>
                <w:sz w:val="18"/>
                <w:szCs w:val="18"/>
              </w:rPr>
              <w:t>境外机构新设、变更、注销备案委托成都市和泸州市、德阳市、绵阳市、乐山市、南充市、宜宾市、达州市实施</w:t>
            </w:r>
          </w:p>
        </w:tc>
      </w:tr>
    </w:tbl>
    <w:p/>
    <w:sectPr>
      <w:pgSz w:w="11906" w:h="16838"/>
      <w:pgMar w:top="1928" w:right="1474" w:bottom="1871" w:left="1587" w:header="851" w:footer="1474" w:gutter="0"/>
      <w:cols w:space="0"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true"/>
  <w:bordersDoNotSurroundHeader w:val="false"/>
  <w:bordersDoNotSurroundFooter w:val="false"/>
  <w:documentProtection w:enforcement="0"/>
  <w:defaultTabStop w:val="420"/>
  <w:evenAndOddHeaders w:val="true"/>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84D9"/>
    <w:rsid w:val="1FDE4615"/>
    <w:rsid w:val="54FF652F"/>
    <w:rsid w:val="5F77E616"/>
    <w:rsid w:val="65E98F01"/>
    <w:rsid w:val="6FDFA4A4"/>
    <w:rsid w:val="6FEDB0A9"/>
    <w:rsid w:val="779F6DC2"/>
    <w:rsid w:val="7D7F7546"/>
    <w:rsid w:val="7EFF84D9"/>
    <w:rsid w:val="9F3B4ABD"/>
    <w:rsid w:val="BCFD18C8"/>
    <w:rsid w:val="DF3F3B21"/>
    <w:rsid w:val="FADE3CF5"/>
    <w:rsid w:val="FFFF6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2025-04-16T08:07:00Z</dcterms:created>
  <dc:creator>Diego</dc:creator>
  <cp:lastModifiedBy>Diego</cp:lastModifiedBy>
  <cp:lastPrinted>2025-04-19T19:49:00Z</cp:lastPrinted>
  <dcterms:modified xsi:type="dcterms:W3CDTF">2025-04-21T10:07:31Z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