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58" w:lineRule="exact"/>
        <w:jc w:val="center"/>
        <w:textAlignment w:val="center"/>
        <w:rPr>
          <w:rFonts w:hint="default"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658" w:lineRule="exact"/>
        <w:jc w:val="center"/>
        <w:textAlignment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达州市202</w:t>
      </w:r>
      <w:r>
        <w:rPr>
          <w:rFonts w:hint="eastAsia" w:ascii="Times New Roman" w:hAnsi="Times New Roman" w:eastAsia="方正小标宋简体" w:cs="Times New Roman"/>
          <w:color w:val="000000"/>
          <w:sz w:val="44"/>
          <w:szCs w:val="44"/>
          <w:lang w:val="en-US" w:eastAsia="zh-CN"/>
        </w:rPr>
        <w:t>5</w:t>
      </w:r>
      <w:r>
        <w:rPr>
          <w:rFonts w:hint="default" w:ascii="Times New Roman" w:hAnsi="Times New Roman" w:eastAsia="方正小标宋简体" w:cs="Times New Roman"/>
          <w:color w:val="000000"/>
          <w:sz w:val="44"/>
          <w:szCs w:val="44"/>
        </w:rPr>
        <w:t>年政府信息公开工作年度报告</w:t>
      </w:r>
    </w:p>
    <w:p>
      <w:pPr>
        <w:pStyle w:val="13"/>
        <w:adjustRightInd w:val="0"/>
        <w:snapToGrid w:val="0"/>
        <w:spacing w:line="578" w:lineRule="exact"/>
        <w:ind w:firstLine="640"/>
        <w:rPr>
          <w:rFonts w:hint="default" w:ascii="Times New Roman" w:hAnsi="Times New Roman" w:eastAsia="仿宋_GB2312" w:cs="Times New Roman"/>
          <w:b w:val="0"/>
          <w:sz w:val="32"/>
          <w:szCs w:val="32"/>
        </w:rPr>
      </w:pP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本报告根据《中华人民共和国政府信息公开条例》（</w:t>
      </w:r>
      <w:r>
        <w:rPr>
          <w:rFonts w:hint="eastAsia" w:ascii="Times New Roman" w:hAnsi="Times New Roman" w:eastAsia="仿宋_GB2312" w:cs="Times New Roman"/>
          <w:color w:val="000000"/>
          <w:sz w:val="32"/>
          <w:szCs w:val="32"/>
          <w:lang w:val="en-US" w:eastAsia="zh-CN"/>
        </w:rPr>
        <w:t>国务院令</w:t>
      </w:r>
      <w:r>
        <w:rPr>
          <w:rFonts w:hint="default" w:ascii="Times New Roman" w:hAnsi="Times New Roman" w:eastAsia="仿宋_GB2312" w:cs="Times New Roman"/>
          <w:color w:val="000000"/>
          <w:sz w:val="32"/>
          <w:szCs w:val="32"/>
          <w:lang w:val="en-US" w:eastAsia="zh-CN"/>
        </w:rPr>
        <w:t>第711号）相关要求编制，报告所列数据统计期限为202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年1月1日至202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年12月31日。</w:t>
      </w:r>
      <w:r>
        <w:rPr>
          <w:rFonts w:hint="eastAsia" w:ascii="Times New Roman" w:hAnsi="Times New Roman" w:eastAsia="仿宋_GB2312" w:cs="Times New Roman"/>
          <w:color w:val="000000"/>
          <w:sz w:val="32"/>
          <w:szCs w:val="32"/>
          <w:lang w:val="en-US" w:eastAsia="zh-CN"/>
        </w:rPr>
        <w:t>如对本报告有疑问，请与达州市</w:t>
      </w:r>
      <w:r>
        <w:rPr>
          <w:rFonts w:hint="default" w:ascii="Times New Roman" w:hAnsi="Times New Roman" w:eastAsia="仿宋_GB2312" w:cs="Times New Roman"/>
          <w:color w:val="000000"/>
          <w:sz w:val="32"/>
          <w:szCs w:val="32"/>
          <w:lang w:val="en-US" w:eastAsia="zh-CN"/>
        </w:rPr>
        <w:t>政府</w:t>
      </w:r>
      <w:r>
        <w:rPr>
          <w:rFonts w:hint="eastAsia" w:ascii="Times New Roman" w:hAnsi="Times New Roman" w:eastAsia="仿宋_GB2312" w:cs="Times New Roman"/>
          <w:color w:val="000000"/>
          <w:sz w:val="32"/>
          <w:szCs w:val="32"/>
          <w:lang w:val="en-US" w:eastAsia="zh-CN"/>
        </w:rPr>
        <w:t>信息公开管理中心</w:t>
      </w:r>
      <w:r>
        <w:rPr>
          <w:rFonts w:hint="default" w:ascii="Times New Roman" w:hAnsi="Times New Roman" w:eastAsia="仿宋_GB2312" w:cs="Times New Roman"/>
          <w:color w:val="000000"/>
          <w:sz w:val="32"/>
          <w:szCs w:val="32"/>
          <w:lang w:val="en-US" w:eastAsia="zh-CN"/>
        </w:rPr>
        <w:t>联系（地址：</w:t>
      </w:r>
      <w:r>
        <w:rPr>
          <w:rFonts w:hint="eastAsia" w:ascii="Times New Roman" w:hAnsi="Times New Roman" w:eastAsia="仿宋_GB2312" w:cs="Times New Roman"/>
          <w:color w:val="000000"/>
          <w:sz w:val="32"/>
          <w:szCs w:val="32"/>
          <w:lang w:val="en-US" w:eastAsia="zh-CN"/>
        </w:rPr>
        <w:t>达州</w:t>
      </w:r>
      <w:r>
        <w:rPr>
          <w:rFonts w:hint="default" w:ascii="Times New Roman" w:hAnsi="Times New Roman" w:eastAsia="仿宋_GB2312" w:cs="Times New Roman"/>
          <w:color w:val="000000"/>
          <w:sz w:val="32"/>
          <w:szCs w:val="32"/>
          <w:lang w:val="en-US" w:eastAsia="zh-CN"/>
        </w:rPr>
        <w:t>市</w:t>
      </w:r>
      <w:r>
        <w:rPr>
          <w:rFonts w:hint="eastAsia" w:ascii="Times New Roman" w:hAnsi="Times New Roman" w:eastAsia="仿宋_GB2312" w:cs="Times New Roman"/>
          <w:color w:val="000000"/>
          <w:sz w:val="32"/>
          <w:szCs w:val="32"/>
          <w:lang w:val="en-US" w:eastAsia="zh-CN"/>
        </w:rPr>
        <w:t>西外永兴路2</w:t>
      </w:r>
      <w:r>
        <w:rPr>
          <w:rFonts w:hint="default" w:ascii="Times New Roman" w:hAnsi="Times New Roman" w:eastAsia="仿宋_GB2312" w:cs="Times New Roman"/>
          <w:color w:val="000000"/>
          <w:sz w:val="32"/>
          <w:szCs w:val="32"/>
          <w:lang w:val="en-US" w:eastAsia="zh-CN"/>
        </w:rPr>
        <w:t>号；电话：08</w:t>
      </w:r>
      <w:r>
        <w:rPr>
          <w:rFonts w:hint="eastAsia" w:ascii="Times New Roman" w:hAnsi="Times New Roman" w:eastAsia="仿宋_GB2312" w:cs="Times New Roman"/>
          <w:color w:val="000000"/>
          <w:sz w:val="32"/>
          <w:szCs w:val="32"/>
          <w:lang w:val="en-US" w:eastAsia="zh-CN"/>
        </w:rPr>
        <w:t>18</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3090286</w:t>
      </w:r>
      <w:r>
        <w:rPr>
          <w:rFonts w:hint="default" w:ascii="Times New Roman" w:hAnsi="Times New Roman" w:eastAsia="仿宋_GB2312" w:cs="Times New Roman"/>
          <w:color w:val="000000"/>
          <w:sz w:val="32"/>
          <w:szCs w:val="32"/>
          <w:lang w:val="en-US" w:eastAsia="zh-CN"/>
        </w:rPr>
        <w:t>）。</w:t>
      </w:r>
    </w:p>
    <w:p>
      <w:pPr>
        <w:keepNext w:val="0"/>
        <w:keepLines w:val="0"/>
        <w:pageBreakBefore w:val="0"/>
        <w:kinsoku/>
        <w:wordWrap/>
        <w:overflowPunct w:val="0"/>
        <w:topLinePunct w:val="0"/>
        <w:autoSpaceDE/>
        <w:autoSpaceDN/>
        <w:bidi w:val="0"/>
        <w:adjustRightInd w:val="0"/>
        <w:snapToGrid w:val="0"/>
        <w:spacing w:line="578" w:lineRule="exact"/>
        <w:ind w:firstLine="640" w:firstLineChars="200"/>
        <w:textAlignment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一、总体情况</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color w:val="000000"/>
          <w:sz w:val="32"/>
          <w:szCs w:val="32"/>
          <w:shd w:val="clear" w:color="auto" w:fill="FFFFFF"/>
          <w:lang w:val="en-US" w:eastAsia="zh-CN"/>
        </w:rPr>
        <w:t>（一）主动公开</w:t>
      </w:r>
      <w:r>
        <w:rPr>
          <w:rFonts w:hint="eastAsia" w:ascii="Times New Roman" w:hAnsi="Times New Roman" w:eastAsia="楷体_GB2312" w:cs="Times New Roman"/>
          <w:color w:val="000000"/>
          <w:sz w:val="32"/>
          <w:szCs w:val="32"/>
          <w:shd w:val="clear" w:color="auto" w:fill="FFFFFF"/>
          <w:lang w:val="en-US" w:eastAsia="zh-CN"/>
        </w:rPr>
        <w:t>。</w:t>
      </w:r>
      <w:r>
        <w:rPr>
          <w:rFonts w:hint="eastAsia" w:ascii="Times New Roman" w:hAnsi="Times New Roman" w:eastAsia="仿宋_GB2312" w:cs="Times New Roman"/>
          <w:color w:val="000000"/>
          <w:sz w:val="32"/>
          <w:szCs w:val="32"/>
          <w:lang w:val="en-US" w:eastAsia="zh-CN"/>
        </w:rPr>
        <w:t>全市各级</w:t>
      </w:r>
      <w:r>
        <w:rPr>
          <w:rFonts w:hint="default" w:ascii="Times New Roman" w:hAnsi="Times New Roman" w:eastAsia="仿宋_GB2312" w:cs="Times New Roman"/>
          <w:color w:val="000000"/>
          <w:sz w:val="32"/>
          <w:szCs w:val="32"/>
          <w:lang w:val="en-US" w:eastAsia="zh-CN"/>
        </w:rPr>
        <w:t>政府网站加强信息主动公开</w:t>
      </w:r>
      <w:r>
        <w:rPr>
          <w:rFonts w:hint="eastAsia" w:ascii="Times New Roman" w:hAnsi="Times New Roman" w:eastAsia="仿宋_GB2312" w:cs="Times New Roman"/>
          <w:color w:val="000000"/>
          <w:sz w:val="32"/>
          <w:szCs w:val="32"/>
          <w:lang w:val="en-US" w:eastAsia="zh-CN"/>
        </w:rPr>
        <w:t>，权威、主动</w:t>
      </w:r>
      <w:r>
        <w:rPr>
          <w:rFonts w:hint="default" w:ascii="Times New Roman" w:hAnsi="Times New Roman" w:eastAsia="仿宋_GB2312" w:cs="Times New Roman"/>
          <w:color w:val="000000"/>
          <w:sz w:val="32"/>
          <w:szCs w:val="32"/>
          <w:lang w:val="en-US" w:eastAsia="zh-CN"/>
        </w:rPr>
        <w:t>公开各类政府信息</w:t>
      </w:r>
      <w:r>
        <w:rPr>
          <w:rFonts w:hint="eastAsia" w:ascii="Times New Roman" w:hAnsi="Times New Roman" w:eastAsia="仿宋_GB2312" w:cs="Times New Roman"/>
          <w:color w:val="000000"/>
          <w:sz w:val="32"/>
          <w:szCs w:val="32"/>
          <w:lang w:val="en-US" w:eastAsia="zh-CN"/>
        </w:rPr>
        <w:t>99664</w:t>
      </w:r>
      <w:r>
        <w:rPr>
          <w:rFonts w:hint="default" w:ascii="Times New Roman" w:hAnsi="Times New Roman" w:eastAsia="仿宋_GB2312" w:cs="Times New Roman"/>
          <w:color w:val="000000"/>
          <w:sz w:val="32"/>
          <w:szCs w:val="32"/>
          <w:lang w:val="en-US" w:eastAsia="zh-CN"/>
        </w:rPr>
        <w:t>条</w:t>
      </w:r>
      <w:r>
        <w:rPr>
          <w:rFonts w:hint="eastAsia" w:ascii="Times New Roman" w:hAnsi="Times New Roman" w:eastAsia="仿宋_GB2312" w:cs="Times New Roman"/>
          <w:color w:val="000000"/>
          <w:sz w:val="32"/>
          <w:szCs w:val="32"/>
          <w:lang w:val="en-US" w:eastAsia="zh-CN"/>
        </w:rPr>
        <w:t>。达州市政府门户网站公开政府信息9226条，其中公开政策</w:t>
      </w:r>
      <w:r>
        <w:rPr>
          <w:rFonts w:hint="default" w:ascii="Times New Roman" w:hAnsi="Times New Roman" w:eastAsia="仿宋_GB2312" w:cs="Times New Roman"/>
          <w:color w:val="000000"/>
          <w:sz w:val="32"/>
          <w:szCs w:val="32"/>
          <w:lang w:val="en-US" w:eastAsia="zh-CN"/>
        </w:rPr>
        <w:t>文件90件，图文、音视频政策解读材料87条</w:t>
      </w:r>
      <w:r>
        <w:rPr>
          <w:rFonts w:hint="eastAsia" w:ascii="Times New Roman" w:hAnsi="Times New Roman" w:eastAsia="仿宋_GB2312" w:cs="Times New Roman"/>
          <w:color w:val="000000"/>
          <w:sz w:val="32"/>
          <w:szCs w:val="32"/>
          <w:lang w:val="en-US" w:eastAsia="zh-CN"/>
        </w:rPr>
        <w:t>；公开</w:t>
      </w:r>
      <w:r>
        <w:rPr>
          <w:rFonts w:hint="default" w:ascii="Times New Roman" w:hAnsi="Times New Roman" w:eastAsia="仿宋_GB2312" w:cs="Times New Roman"/>
          <w:color w:val="000000"/>
          <w:sz w:val="32"/>
          <w:szCs w:val="32"/>
          <w:lang w:val="en-US" w:eastAsia="zh-CN"/>
        </w:rPr>
        <w:t>市政府全体会议和常务会议信息49条</w:t>
      </w:r>
      <w:r>
        <w:rPr>
          <w:rFonts w:hint="eastAsia" w:ascii="Times New Roman" w:hAnsi="Times New Roman" w:eastAsia="仿宋_GB2312" w:cs="Times New Roman"/>
          <w:color w:val="000000"/>
          <w:sz w:val="32"/>
          <w:szCs w:val="32"/>
          <w:lang w:val="en-US" w:eastAsia="zh-CN"/>
        </w:rPr>
        <w:t>，公开新闻发布会信息18条；</w:t>
      </w:r>
      <w:r>
        <w:rPr>
          <w:rFonts w:hint="default" w:ascii="Times New Roman" w:hAnsi="Times New Roman" w:eastAsia="仿宋_GB2312" w:cs="Times New Roman"/>
          <w:color w:val="000000"/>
          <w:sz w:val="32"/>
          <w:szCs w:val="32"/>
          <w:lang w:val="en-US" w:eastAsia="zh-CN"/>
        </w:rPr>
        <w:t>归集公开人大代表建议和政协委员提案办理结果123条</w:t>
      </w:r>
      <w:r>
        <w:rPr>
          <w:rFonts w:hint="eastAsia" w:ascii="Times New Roman" w:hAnsi="Times New Roman" w:eastAsia="仿宋_GB2312" w:cs="Times New Roman"/>
          <w:color w:val="000000"/>
          <w:sz w:val="32"/>
          <w:szCs w:val="32"/>
          <w:lang w:val="en-US" w:eastAsia="zh-CN"/>
        </w:rPr>
        <w:t>；强化重点民生领域信息公开，主动公开乡村振兴、教育、医疗、社保、就业等政策措施，环境保护、公共卫生、食品药品、产品质量等监督检查信息，以及财政预决算、公务员招考录用等信息5700余条。畅通政民互动交流，开展“政务开放日”活动21期，“在线访谈”节目3期，网上民意征集9期</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color w:val="000000"/>
          <w:sz w:val="32"/>
          <w:szCs w:val="32"/>
          <w:lang w:val="en-US"/>
        </w:rPr>
      </w:pPr>
      <w:r>
        <w:rPr>
          <w:rFonts w:hint="default" w:ascii="Times New Roman" w:hAnsi="Times New Roman" w:eastAsia="楷体_GB2312" w:cs="Times New Roman"/>
          <w:color w:val="000000"/>
          <w:sz w:val="32"/>
          <w:szCs w:val="32"/>
          <w:shd w:val="clear" w:color="auto" w:fill="FFFFFF"/>
        </w:rPr>
        <w:t>（二）依申请公开。</w:t>
      </w:r>
      <w:r>
        <w:rPr>
          <w:rFonts w:hint="eastAsia" w:ascii="Times New Roman" w:hAnsi="Times New Roman" w:eastAsia="仿宋_GB2312" w:cs="Times New Roman"/>
          <w:color w:val="000000"/>
          <w:sz w:val="32"/>
          <w:szCs w:val="32"/>
          <w:lang w:val="en-US" w:eastAsia="zh-CN"/>
        </w:rPr>
        <w:t>全面规范依申请公开办理流程，依法依规做好依申请公开，注重预防和化解行政争议，</w:t>
      </w:r>
      <w:r>
        <w:rPr>
          <w:rFonts w:hint="default" w:ascii="Times New Roman" w:hAnsi="Times New Roman" w:eastAsia="仿宋_GB2312" w:cs="Times New Roman"/>
          <w:sz w:val="32"/>
          <w:szCs w:val="32"/>
        </w:rPr>
        <w:t>2025年</w:t>
      </w:r>
      <w:r>
        <w:rPr>
          <w:rFonts w:hint="eastAsia" w:ascii="Times New Roman" w:hAnsi="Times New Roman" w:eastAsia="仿宋_GB2312" w:cs="Times New Roman"/>
          <w:sz w:val="32"/>
          <w:szCs w:val="32"/>
          <w:lang w:eastAsia="zh-CN"/>
        </w:rPr>
        <w:t>全市</w:t>
      </w:r>
      <w:r>
        <w:rPr>
          <w:rFonts w:hint="default" w:ascii="Times New Roman" w:hAnsi="Times New Roman" w:eastAsia="仿宋_GB2312" w:cs="Times New Roman"/>
          <w:sz w:val="32"/>
          <w:szCs w:val="32"/>
        </w:rPr>
        <w:t>收到依申请公开</w:t>
      </w:r>
      <w:r>
        <w:rPr>
          <w:rFonts w:hint="eastAsia" w:ascii="Times New Roman" w:hAnsi="Times New Roman" w:eastAsia="仿宋_GB2312" w:cs="Times New Roman"/>
          <w:sz w:val="32"/>
          <w:szCs w:val="32"/>
          <w:lang w:val="en-US" w:eastAsia="zh-CN"/>
        </w:rPr>
        <w:t>1340</w:t>
      </w:r>
      <w:r>
        <w:rPr>
          <w:rFonts w:hint="default" w:ascii="Times New Roman" w:hAnsi="Times New Roman" w:eastAsia="仿宋_GB2312" w:cs="Times New Roman"/>
          <w:sz w:val="32"/>
          <w:szCs w:val="32"/>
        </w:rPr>
        <w:t>件，</w:t>
      </w:r>
      <w:r>
        <w:rPr>
          <w:rFonts w:hint="eastAsia" w:ascii="Times New Roman" w:hAnsi="Times New Roman" w:eastAsia="仿宋_GB2312" w:cs="Times New Roman"/>
          <w:sz w:val="32"/>
          <w:szCs w:val="32"/>
          <w:lang w:eastAsia="zh-CN"/>
        </w:rPr>
        <w:t>依法依规办结</w:t>
      </w:r>
      <w:r>
        <w:rPr>
          <w:rFonts w:hint="eastAsia" w:ascii="Times New Roman" w:hAnsi="Times New Roman" w:eastAsia="仿宋_GB2312" w:cs="Times New Roman"/>
          <w:sz w:val="32"/>
          <w:szCs w:val="32"/>
          <w:lang w:val="en-US" w:eastAsia="zh-CN"/>
        </w:rPr>
        <w:t>1341件（含2024年结转26件），结转2026年办理25件。</w:t>
      </w:r>
      <w:r>
        <w:rPr>
          <w:rFonts w:hint="default" w:ascii="Times New Roman" w:hAnsi="Times New Roman" w:eastAsia="仿宋_GB2312" w:cs="Times New Roman"/>
          <w:sz w:val="32"/>
          <w:szCs w:val="32"/>
        </w:rPr>
        <w:t>引发行政</w:t>
      </w:r>
      <w:r>
        <w:rPr>
          <w:rFonts w:hint="eastAsia" w:ascii="Times New Roman" w:hAnsi="Times New Roman" w:eastAsia="仿宋_GB2312" w:cs="Times New Roman"/>
          <w:sz w:val="32"/>
          <w:szCs w:val="32"/>
          <w:lang w:eastAsia="zh-CN"/>
        </w:rPr>
        <w:t>复议</w:t>
      </w:r>
      <w:r>
        <w:rPr>
          <w:rFonts w:hint="eastAsia" w:ascii="Times New Roman" w:hAnsi="Times New Roman" w:eastAsia="仿宋_GB2312" w:cs="Times New Roman"/>
          <w:sz w:val="32"/>
          <w:szCs w:val="32"/>
          <w:lang w:val="en-US" w:eastAsia="zh-CN"/>
        </w:rPr>
        <w:t>116件</w:t>
      </w:r>
      <w:r>
        <w:rPr>
          <w:rFonts w:hint="eastAsia" w:ascii="Times New Roman" w:hAnsi="Times New Roman" w:eastAsia="仿宋_GB2312" w:cs="Times New Roman"/>
          <w:sz w:val="32"/>
          <w:szCs w:val="32"/>
          <w:lang w:eastAsia="zh-CN"/>
        </w:rPr>
        <w:t>，行政诉讼</w:t>
      </w:r>
      <w:r>
        <w:rPr>
          <w:rFonts w:hint="eastAsia" w:ascii="Times New Roman" w:hAnsi="Times New Roman" w:eastAsia="仿宋_GB2312" w:cs="Times New Roman"/>
          <w:sz w:val="32"/>
          <w:szCs w:val="32"/>
          <w:lang w:val="en-US" w:eastAsia="zh-CN"/>
        </w:rPr>
        <w:t>12件</w:t>
      </w:r>
      <w:r>
        <w:rPr>
          <w:rFonts w:hint="default" w:ascii="Times New Roman" w:hAnsi="Times New Roman" w:eastAsia="仿宋_GB2312" w:cs="Times New Roman"/>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pPr>
      <w:r>
        <w:rPr>
          <w:rFonts w:hint="default" w:ascii="Times New Roman" w:hAnsi="Times New Roman" w:eastAsia="楷体_GB2312" w:cs="Times New Roman"/>
          <w:color w:val="000000"/>
          <w:sz w:val="32"/>
          <w:szCs w:val="32"/>
          <w:shd w:val="clear" w:color="auto" w:fill="FFFFFF"/>
        </w:rPr>
        <w:t>（三）政府信息管理。</w:t>
      </w:r>
      <w:r>
        <w:rPr>
          <w:rFonts w:hint="eastAsia" w:ascii="Times New Roman" w:hAnsi="Times New Roman" w:eastAsia="仿宋_GB2312" w:cs="Times New Roman"/>
          <w:color w:val="000000"/>
          <w:sz w:val="32"/>
          <w:szCs w:val="32"/>
          <w:lang w:val="en-US" w:eastAsia="zh-CN"/>
        </w:rPr>
        <w:t>对全市现行有效的政府规章和行政规范性文件进行全面清理，完成全市政府规章、行政规范性文件的集中统一公开和动态更新，2025年现行有效规章6部；制发行政规范性文件38件、失效或废止38件，现行有效245件。编辑出刊市政府公报12期，刊登文件99件、政策解读材料3件，免费赠阅2万余册，并同步通过政府网站发布电子版。</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楷体_GB2312" w:cs="Times New Roman"/>
          <w:color w:val="000000"/>
          <w:sz w:val="32"/>
          <w:szCs w:val="32"/>
          <w:shd w:val="clear" w:color="auto" w:fill="FFFFFF"/>
          <w:lang w:eastAsia="zh-CN"/>
        </w:rPr>
        <w:t>（四）</w:t>
      </w:r>
      <w:r>
        <w:rPr>
          <w:rFonts w:hint="default" w:ascii="Times New Roman" w:hAnsi="Times New Roman" w:eastAsia="楷体_GB2312" w:cs="Times New Roman"/>
          <w:color w:val="000000"/>
          <w:sz w:val="32"/>
          <w:szCs w:val="32"/>
          <w:shd w:val="clear" w:color="auto" w:fill="FFFFFF"/>
        </w:rPr>
        <w:t>政府信息公开平台建设。</w:t>
      </w:r>
      <w:r>
        <w:rPr>
          <w:rFonts w:hint="default" w:ascii="Times New Roman" w:hAnsi="Times New Roman" w:eastAsia="仿宋_GB2312" w:cs="Times New Roman"/>
          <w:color w:val="000000"/>
          <w:sz w:val="32"/>
          <w:szCs w:val="32"/>
          <w:lang w:val="en-US" w:eastAsia="zh-CN"/>
        </w:rPr>
        <w:t>持续推进政府系统政务新媒体清理工作</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注销关停新媒体账号</w:t>
      </w:r>
      <w:r>
        <w:rPr>
          <w:rFonts w:hint="eastAsia" w:ascii="Times New Roman" w:hAnsi="Times New Roman"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lang w:val="en-US" w:eastAsia="zh-CN"/>
        </w:rPr>
        <w:t>个</w:t>
      </w:r>
      <w:r>
        <w:rPr>
          <w:rFonts w:hint="eastAsia" w:ascii="Times New Roman" w:hAnsi="Times New Roman" w:eastAsia="仿宋_GB2312" w:cs="Times New Roman"/>
          <w:color w:val="000000"/>
          <w:sz w:val="32"/>
          <w:szCs w:val="32"/>
          <w:lang w:val="en-US" w:eastAsia="zh-CN"/>
        </w:rPr>
        <w:t>。政府网站持续完善信息发布、办事服务、互动交流等功能。</w:t>
      </w:r>
      <w:r>
        <w:rPr>
          <w:rFonts w:hint="default" w:ascii="Times New Roman" w:hAnsi="Times New Roman" w:eastAsia="仿宋_GB2312" w:cs="Times New Roman"/>
          <w:color w:val="000000"/>
          <w:kern w:val="0"/>
          <w:sz w:val="32"/>
          <w:szCs w:val="32"/>
          <w:shd w:val="clear" w:color="auto" w:fill="FFFFFF"/>
          <w:lang w:eastAsia="zh-CN"/>
        </w:rPr>
        <w:t>全国两</w:t>
      </w:r>
      <w:r>
        <w:rPr>
          <w:rFonts w:hint="default" w:ascii="Times New Roman" w:hAnsi="Times New Roman" w:eastAsia="仿宋_GB2312" w:cs="Times New Roman"/>
          <w:color w:val="000000"/>
          <w:kern w:val="2"/>
          <w:sz w:val="32"/>
          <w:szCs w:val="32"/>
          <w:lang w:eastAsia="zh-CN" w:bidi="ar-SA"/>
        </w:rPr>
        <w:t>会期间，</w:t>
      </w:r>
      <w:r>
        <w:rPr>
          <w:rFonts w:hint="eastAsia" w:ascii="Times New Roman" w:hAnsi="Times New Roman" w:eastAsia="仿宋_GB2312" w:cs="Times New Roman"/>
          <w:color w:val="000000"/>
          <w:kern w:val="2"/>
          <w:sz w:val="32"/>
          <w:szCs w:val="32"/>
          <w:lang w:eastAsia="zh-CN" w:bidi="ar-SA"/>
        </w:rPr>
        <w:t>全</w:t>
      </w:r>
      <w:r>
        <w:rPr>
          <w:rFonts w:hint="default" w:ascii="Times New Roman" w:hAnsi="Times New Roman" w:eastAsia="仿宋_GB2312" w:cs="Times New Roman"/>
          <w:color w:val="000000"/>
          <w:kern w:val="2"/>
          <w:sz w:val="32"/>
          <w:szCs w:val="32"/>
          <w:lang w:eastAsia="zh-CN" w:bidi="ar-SA"/>
        </w:rPr>
        <w:t>市政府网站实行</w:t>
      </w:r>
      <w:r>
        <w:rPr>
          <w:rFonts w:hint="default" w:ascii="Times New Roman" w:hAnsi="Times New Roman" w:eastAsia="仿宋_GB2312" w:cs="Times New Roman"/>
          <w:color w:val="000000"/>
          <w:kern w:val="2"/>
          <w:sz w:val="32"/>
          <w:szCs w:val="32"/>
          <w:lang w:val="en-US" w:eastAsia="zh-CN" w:bidi="ar-SA"/>
        </w:rPr>
        <w:t>7×24小时专人值守，保障政府网站安全稳定运行。</w:t>
      </w:r>
      <w:r>
        <w:rPr>
          <w:rFonts w:hint="eastAsia" w:ascii="Times New Roman" w:hAnsi="Times New Roman" w:eastAsia="仿宋_GB2312" w:cs="Times New Roman"/>
          <w:color w:val="000000"/>
          <w:sz w:val="32"/>
          <w:szCs w:val="32"/>
          <w:lang w:val="en-US" w:eastAsia="zh-CN"/>
        </w:rPr>
        <w:t>开设“达州市主动公开事项目录”栏目，归集展示市级部门和县（市、区）主动公开事项目录。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color w:val="000000"/>
          <w:kern w:val="2"/>
          <w:sz w:val="32"/>
          <w:szCs w:val="32"/>
          <w:shd w:val="clear" w:color="auto" w:fill="FFFFFF"/>
          <w:lang w:val="en-US" w:eastAsia="zh-CN" w:bidi="ar-SA"/>
        </w:rPr>
        <w:t>（五）监督保障。</w:t>
      </w:r>
      <w:r>
        <w:rPr>
          <w:rFonts w:hint="eastAsia" w:ascii="Times New Roman" w:hAnsi="Times New Roman" w:eastAsia="仿宋_GB2312" w:cs="Times New Roman"/>
          <w:sz w:val="32"/>
          <w:szCs w:val="32"/>
          <w:lang w:eastAsia="zh-CN"/>
        </w:rPr>
        <w:t>召开</w:t>
      </w:r>
      <w:r>
        <w:rPr>
          <w:rFonts w:hint="eastAsia" w:ascii="Times New Roman" w:hAnsi="Times New Roman" w:eastAsia="仿宋_GB2312" w:cs="Times New Roman"/>
          <w:sz w:val="32"/>
          <w:szCs w:val="32"/>
          <w:lang w:val="en-US" w:eastAsia="zh-CN"/>
        </w:rPr>
        <w:t>2025年全市政务公开、政府网站和政务新媒体工作推进会暨业务培训视频会议，开展专题业务培训，有效提升全市政务公开工作人员业务能力。</w:t>
      </w:r>
      <w:r>
        <w:rPr>
          <w:rFonts w:hint="default" w:ascii="Times New Roman" w:hAnsi="Times New Roman" w:eastAsia="仿宋_GB2312" w:cs="Times New Roman"/>
          <w:sz w:val="32"/>
          <w:szCs w:val="32"/>
          <w:lang w:val="en-US" w:eastAsia="zh-CN"/>
        </w:rPr>
        <w:t>定期监测</w:t>
      </w:r>
      <w:r>
        <w:rPr>
          <w:rFonts w:hint="default" w:ascii="Times New Roman" w:hAnsi="Times New Roman" w:eastAsia="仿宋_GB2312" w:cs="Times New Roman"/>
          <w:sz w:val="32"/>
          <w:szCs w:val="32"/>
          <w:lang w:eastAsia="zh-CN"/>
        </w:rPr>
        <w:t>扫描全市所有政府网站和政务新媒体账号信息，</w:t>
      </w:r>
      <w:r>
        <w:rPr>
          <w:rFonts w:hint="default" w:ascii="Times New Roman" w:hAnsi="Times New Roman" w:eastAsia="仿宋_GB2312" w:cs="Times New Roman"/>
          <w:sz w:val="32"/>
          <w:szCs w:val="32"/>
          <w:lang w:val="en-US" w:eastAsia="zh-CN"/>
        </w:rPr>
        <w:t>及时反馈</w:t>
      </w:r>
      <w:r>
        <w:rPr>
          <w:rFonts w:hint="default" w:ascii="Times New Roman" w:hAnsi="Times New Roman" w:eastAsia="仿宋_GB2312" w:cs="Times New Roman"/>
          <w:sz w:val="32"/>
          <w:szCs w:val="32"/>
          <w:lang w:eastAsia="zh-CN"/>
        </w:rPr>
        <w:t>错</w:t>
      </w:r>
      <w:r>
        <w:rPr>
          <w:rFonts w:hint="default" w:ascii="Times New Roman" w:hAnsi="Times New Roman" w:eastAsia="仿宋_GB2312" w:cs="Times New Roman"/>
          <w:sz w:val="32"/>
          <w:szCs w:val="32"/>
          <w:lang w:val="en-US" w:eastAsia="zh-CN"/>
        </w:rPr>
        <w:t>敏信息、非法暗链等风险隐患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eastAsia="zh-CN"/>
        </w:rPr>
        <w:t>督促</w:t>
      </w:r>
      <w:r>
        <w:rPr>
          <w:rFonts w:hint="default" w:ascii="Times New Roman" w:hAnsi="Times New Roman" w:eastAsia="仿宋_GB2312" w:cs="Times New Roman"/>
          <w:sz w:val="32"/>
          <w:szCs w:val="32"/>
          <w:lang w:val="en-US" w:eastAsia="zh-CN"/>
        </w:rPr>
        <w:t>指导相关</w:t>
      </w:r>
      <w:r>
        <w:rPr>
          <w:rFonts w:hint="default" w:ascii="Times New Roman" w:hAnsi="Times New Roman" w:eastAsia="仿宋_GB2312" w:cs="Times New Roman"/>
          <w:sz w:val="32"/>
          <w:szCs w:val="32"/>
          <w:lang w:eastAsia="zh-CN"/>
        </w:rPr>
        <w:t>单位及时整改</w:t>
      </w:r>
      <w:r>
        <w:rPr>
          <w:rFonts w:hint="default" w:ascii="Times New Roman" w:hAnsi="Times New Roman" w:eastAsia="仿宋_GB2312" w:cs="Times New Roman"/>
          <w:sz w:val="32"/>
          <w:szCs w:val="32"/>
          <w:lang w:val="en-US" w:eastAsia="zh-CN"/>
        </w:rPr>
        <w:t>到位</w:t>
      </w:r>
      <w:r>
        <w:rPr>
          <w:rFonts w:hint="default" w:ascii="Times New Roman" w:hAnsi="Times New Roman" w:eastAsia="仿宋_GB2312" w:cs="Times New Roman"/>
          <w:sz w:val="32"/>
          <w:szCs w:val="32"/>
          <w:lang w:eastAsia="zh-CN"/>
        </w:rPr>
        <w:t>。开展季度普查</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次，</w:t>
      </w:r>
      <w:r>
        <w:rPr>
          <w:rFonts w:hint="default" w:ascii="Times New Roman" w:hAnsi="Times New Roman" w:eastAsia="仿宋_GB2312" w:cs="Times New Roman"/>
          <w:sz w:val="32"/>
          <w:szCs w:val="32"/>
          <w:lang w:val="en-US" w:eastAsia="zh-CN"/>
        </w:rPr>
        <w:t>半年检查1次，</w:t>
      </w:r>
      <w:r>
        <w:rPr>
          <w:rFonts w:hint="default" w:ascii="Times New Roman" w:hAnsi="Times New Roman" w:eastAsia="仿宋_GB2312" w:cs="Times New Roman"/>
          <w:sz w:val="32"/>
          <w:szCs w:val="32"/>
          <w:lang w:eastAsia="zh-CN"/>
        </w:rPr>
        <w:t>对检查存在的突出问题进行通报。</w:t>
      </w:r>
    </w:p>
    <w:p>
      <w:pPr>
        <w:adjustRightInd w:val="0"/>
        <w:snapToGrid w:val="0"/>
        <w:spacing w:line="578" w:lineRule="exact"/>
        <w:ind w:firstLine="640" w:firstLineChars="200"/>
        <w:textAlignment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二、主动公开政府信息情况</w:t>
      </w:r>
    </w:p>
    <w:tbl>
      <w:tblPr>
        <w:tblStyle w:val="14"/>
        <w:tblW w:w="5000" w:type="pct"/>
        <w:jc w:val="center"/>
        <w:tblLayout w:type="autofit"/>
        <w:tblCellMar>
          <w:top w:w="15" w:type="dxa"/>
          <w:left w:w="28" w:type="dxa"/>
          <w:bottom w:w="15" w:type="dxa"/>
          <w:right w:w="28" w:type="dxa"/>
        </w:tblCellMar>
      </w:tblPr>
      <w:tblGrid>
        <w:gridCol w:w="2482"/>
        <w:gridCol w:w="2138"/>
        <w:gridCol w:w="2136"/>
        <w:gridCol w:w="2145"/>
      </w:tblGrid>
      <w:tr>
        <w:tblPrEx>
          <w:tblCellMar>
            <w:top w:w="15" w:type="dxa"/>
            <w:left w:w="28" w:type="dxa"/>
            <w:bottom w:w="15" w:type="dxa"/>
            <w:right w:w="28" w:type="dxa"/>
          </w:tblCellMar>
        </w:tblPrEx>
        <w:trPr>
          <w:trHeight w:val="539" w:hRule="atLeast"/>
          <w:jc w:val="center"/>
        </w:trPr>
        <w:tc>
          <w:tcPr>
            <w:tcW w:w="5000" w:type="pct"/>
            <w:gridSpan w:val="4"/>
            <w:tcBorders>
              <w:top w:val="single" w:color="auto" w:sz="4" w:space="0"/>
              <w:left w:val="single" w:color="000000" w:sz="6" w:space="0"/>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黑体" w:cs="Times New Roman"/>
              </w:rPr>
            </w:pPr>
            <w:r>
              <w:rPr>
                <w:rFonts w:hint="default" w:ascii="Times New Roman" w:hAnsi="Times New Roman" w:eastAsia="黑体" w:cs="Times New Roman"/>
              </w:rPr>
              <w:t>第二十条第（一）项</w:t>
            </w:r>
          </w:p>
        </w:tc>
      </w:tr>
      <w:tr>
        <w:tblPrEx>
          <w:tblCellMar>
            <w:top w:w="15" w:type="dxa"/>
            <w:left w:w="28" w:type="dxa"/>
            <w:bottom w:w="15" w:type="dxa"/>
            <w:right w:w="28" w:type="dxa"/>
          </w:tblCellMar>
        </w:tblPrEx>
        <w:trPr>
          <w:trHeight w:val="539" w:hRule="atLeast"/>
          <w:jc w:val="center"/>
        </w:trPr>
        <w:tc>
          <w:tcPr>
            <w:tcW w:w="1394" w:type="pct"/>
            <w:tcBorders>
              <w:top w:val="nil"/>
              <w:left w:val="single" w:color="000000" w:sz="6" w:space="0"/>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rPr>
              <w:t>信息内容</w:t>
            </w:r>
          </w:p>
        </w:tc>
        <w:tc>
          <w:tcPr>
            <w:tcW w:w="1201" w:type="pct"/>
            <w:tcBorders>
              <w:top w:val="single" w:color="000000" w:sz="6" w:space="0"/>
              <w:left w:val="nil"/>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rPr>
              <w:t>本年制发件数</w:t>
            </w:r>
          </w:p>
        </w:tc>
        <w:tc>
          <w:tcPr>
            <w:tcW w:w="1200" w:type="pct"/>
            <w:tcBorders>
              <w:top w:val="single" w:color="000000" w:sz="6" w:space="0"/>
              <w:left w:val="nil"/>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rPr>
              <w:t>本年废止件数</w:t>
            </w:r>
          </w:p>
        </w:tc>
        <w:tc>
          <w:tcPr>
            <w:tcW w:w="1202" w:type="pct"/>
            <w:tcBorders>
              <w:top w:val="single" w:color="000000" w:sz="6" w:space="0"/>
              <w:left w:val="nil"/>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rPr>
              <w:t>现行有效件数</w:t>
            </w:r>
          </w:p>
        </w:tc>
      </w:tr>
      <w:tr>
        <w:tblPrEx>
          <w:tblCellMar>
            <w:top w:w="15" w:type="dxa"/>
            <w:left w:w="28" w:type="dxa"/>
            <w:bottom w:w="15" w:type="dxa"/>
            <w:right w:w="28" w:type="dxa"/>
          </w:tblCellMar>
        </w:tblPrEx>
        <w:trPr>
          <w:trHeight w:val="539" w:hRule="atLeast"/>
          <w:jc w:val="center"/>
        </w:trPr>
        <w:tc>
          <w:tcPr>
            <w:tcW w:w="1394" w:type="pct"/>
            <w:tcBorders>
              <w:top w:val="nil"/>
              <w:left w:val="single" w:color="000000" w:sz="6" w:space="0"/>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rPr>
              <w:t>规  章</w:t>
            </w:r>
          </w:p>
        </w:tc>
        <w:tc>
          <w:tcPr>
            <w:tcW w:w="1201" w:type="pct"/>
            <w:tcBorders>
              <w:top w:val="nil"/>
              <w:left w:val="nil"/>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w:t>
            </w:r>
          </w:p>
        </w:tc>
        <w:tc>
          <w:tcPr>
            <w:tcW w:w="1200" w:type="pct"/>
            <w:tcBorders>
              <w:top w:val="nil"/>
              <w:left w:val="nil"/>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w:t>
            </w:r>
          </w:p>
        </w:tc>
        <w:tc>
          <w:tcPr>
            <w:tcW w:w="1202" w:type="pct"/>
            <w:tcBorders>
              <w:top w:val="nil"/>
              <w:left w:val="nil"/>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6</w:t>
            </w:r>
          </w:p>
        </w:tc>
      </w:tr>
      <w:tr>
        <w:tblPrEx>
          <w:tblCellMar>
            <w:top w:w="15" w:type="dxa"/>
            <w:left w:w="28" w:type="dxa"/>
            <w:bottom w:w="15" w:type="dxa"/>
            <w:right w:w="28" w:type="dxa"/>
          </w:tblCellMar>
        </w:tblPrEx>
        <w:trPr>
          <w:trHeight w:val="539" w:hRule="atLeast"/>
          <w:jc w:val="center"/>
        </w:trPr>
        <w:tc>
          <w:tcPr>
            <w:tcW w:w="1394" w:type="pct"/>
            <w:tcBorders>
              <w:top w:val="nil"/>
              <w:left w:val="single" w:color="000000" w:sz="6" w:space="0"/>
              <w:bottom w:val="single" w:color="auto" w:sz="4"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rPr>
              <w:t>行政规范性文件</w:t>
            </w:r>
          </w:p>
        </w:tc>
        <w:tc>
          <w:tcPr>
            <w:tcW w:w="1201" w:type="pct"/>
            <w:tcBorders>
              <w:top w:val="nil"/>
              <w:left w:val="nil"/>
              <w:bottom w:val="single" w:color="auto" w:sz="4"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w:t>
            </w:r>
          </w:p>
        </w:tc>
        <w:tc>
          <w:tcPr>
            <w:tcW w:w="1200" w:type="pct"/>
            <w:tcBorders>
              <w:top w:val="nil"/>
              <w:left w:val="nil"/>
              <w:bottom w:val="single" w:color="auto" w:sz="4"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w:t>
            </w:r>
          </w:p>
        </w:tc>
        <w:tc>
          <w:tcPr>
            <w:tcW w:w="1202" w:type="pct"/>
            <w:tcBorders>
              <w:top w:val="nil"/>
              <w:left w:val="nil"/>
              <w:bottom w:val="single" w:color="auto" w:sz="4"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245</w:t>
            </w:r>
          </w:p>
        </w:tc>
      </w:tr>
      <w:tr>
        <w:tblPrEx>
          <w:tblCellMar>
            <w:top w:w="15" w:type="dxa"/>
            <w:left w:w="28" w:type="dxa"/>
            <w:bottom w:w="15" w:type="dxa"/>
            <w:right w:w="28" w:type="dxa"/>
          </w:tblCellMar>
        </w:tblPrEx>
        <w:trPr>
          <w:trHeight w:val="539" w:hRule="atLeast"/>
          <w:jc w:val="center"/>
        </w:trPr>
        <w:tc>
          <w:tcPr>
            <w:tcW w:w="5000" w:type="pct"/>
            <w:gridSpan w:val="4"/>
            <w:tcBorders>
              <w:top w:val="single" w:color="auto" w:sz="4" w:space="0"/>
              <w:left w:val="single" w:color="auto" w:sz="4" w:space="0"/>
              <w:bottom w:val="single" w:color="000000" w:sz="6" w:space="0"/>
              <w:right w:val="single" w:color="000000" w:sz="6" w:space="0"/>
            </w:tcBorders>
            <w:noWrap w:val="0"/>
            <w:vAlign w:val="center"/>
          </w:tcPr>
          <w:p>
            <w:pPr>
              <w:spacing w:line="380" w:lineRule="exact"/>
              <w:jc w:val="center"/>
              <w:textAlignment w:val="center"/>
              <w:rPr>
                <w:rFonts w:hint="default" w:ascii="Times New Roman" w:hAnsi="Times New Roman" w:eastAsia="黑体" w:cs="Times New Roman"/>
              </w:rPr>
            </w:pPr>
            <w:r>
              <w:rPr>
                <w:rFonts w:hint="default" w:ascii="Times New Roman" w:hAnsi="Times New Roman" w:eastAsia="黑体" w:cs="Times New Roman"/>
                <w:kern w:val="0"/>
                <w:sz w:val="24"/>
                <w:szCs w:val="24"/>
              </w:rPr>
              <w:t>第二十条第（五）项</w:t>
            </w:r>
          </w:p>
        </w:tc>
      </w:tr>
      <w:tr>
        <w:tblPrEx>
          <w:tblCellMar>
            <w:top w:w="15" w:type="dxa"/>
            <w:left w:w="28" w:type="dxa"/>
            <w:bottom w:w="15" w:type="dxa"/>
            <w:right w:w="28" w:type="dxa"/>
          </w:tblCellMar>
        </w:tblPrEx>
        <w:trPr>
          <w:trHeight w:val="539" w:hRule="atLeast"/>
          <w:jc w:val="center"/>
        </w:trPr>
        <w:tc>
          <w:tcPr>
            <w:tcW w:w="1394" w:type="pct"/>
            <w:tcBorders>
              <w:top w:val="nil"/>
              <w:left w:val="single" w:color="000000" w:sz="6" w:space="0"/>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rPr>
              <w:t>信息内容</w:t>
            </w:r>
          </w:p>
        </w:tc>
        <w:tc>
          <w:tcPr>
            <w:tcW w:w="3605" w:type="pct"/>
            <w:gridSpan w:val="3"/>
            <w:tcBorders>
              <w:top w:val="nil"/>
              <w:left w:val="nil"/>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rPr>
              <w:t>本年处理决定数量</w:t>
            </w:r>
          </w:p>
        </w:tc>
      </w:tr>
      <w:tr>
        <w:tblPrEx>
          <w:tblCellMar>
            <w:top w:w="15" w:type="dxa"/>
            <w:left w:w="28" w:type="dxa"/>
            <w:bottom w:w="15" w:type="dxa"/>
            <w:right w:w="28" w:type="dxa"/>
          </w:tblCellMar>
        </w:tblPrEx>
        <w:trPr>
          <w:trHeight w:val="539" w:hRule="atLeast"/>
          <w:jc w:val="center"/>
        </w:trPr>
        <w:tc>
          <w:tcPr>
            <w:tcW w:w="1394" w:type="pct"/>
            <w:tcBorders>
              <w:top w:val="nil"/>
              <w:left w:val="single" w:color="000000" w:sz="6" w:space="0"/>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rPr>
              <w:t>行政许可</w:t>
            </w:r>
          </w:p>
        </w:tc>
        <w:tc>
          <w:tcPr>
            <w:tcW w:w="3605" w:type="pct"/>
            <w:gridSpan w:val="3"/>
            <w:tcBorders>
              <w:top w:val="nil"/>
              <w:left w:val="nil"/>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758930</w:t>
            </w:r>
          </w:p>
        </w:tc>
      </w:tr>
      <w:tr>
        <w:tblPrEx>
          <w:tblCellMar>
            <w:top w:w="15" w:type="dxa"/>
            <w:left w:w="28" w:type="dxa"/>
            <w:bottom w:w="15" w:type="dxa"/>
            <w:right w:w="28" w:type="dxa"/>
          </w:tblCellMar>
        </w:tblPrEx>
        <w:trPr>
          <w:trHeight w:val="539" w:hRule="atLeast"/>
          <w:jc w:val="center"/>
        </w:trPr>
        <w:tc>
          <w:tcPr>
            <w:tcW w:w="5000" w:type="pct"/>
            <w:gridSpan w:val="4"/>
            <w:tcBorders>
              <w:top w:val="nil"/>
              <w:left w:val="single" w:color="000000" w:sz="6" w:space="0"/>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黑体" w:cs="Times New Roman"/>
              </w:rPr>
            </w:pPr>
            <w:r>
              <w:rPr>
                <w:rFonts w:hint="default" w:ascii="Times New Roman" w:hAnsi="Times New Roman" w:eastAsia="黑体" w:cs="Times New Roman"/>
              </w:rPr>
              <w:t>第二十条第（六）项</w:t>
            </w:r>
          </w:p>
        </w:tc>
      </w:tr>
      <w:tr>
        <w:tblPrEx>
          <w:tblCellMar>
            <w:top w:w="15" w:type="dxa"/>
            <w:left w:w="28" w:type="dxa"/>
            <w:bottom w:w="15" w:type="dxa"/>
            <w:right w:w="28" w:type="dxa"/>
          </w:tblCellMar>
        </w:tblPrEx>
        <w:trPr>
          <w:trHeight w:val="539" w:hRule="atLeast"/>
          <w:jc w:val="center"/>
        </w:trPr>
        <w:tc>
          <w:tcPr>
            <w:tcW w:w="1394" w:type="pct"/>
            <w:tcBorders>
              <w:top w:val="nil"/>
              <w:left w:val="single" w:color="000000" w:sz="6" w:space="0"/>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rPr>
              <w:t>信息内容</w:t>
            </w:r>
          </w:p>
        </w:tc>
        <w:tc>
          <w:tcPr>
            <w:tcW w:w="3605" w:type="pct"/>
            <w:gridSpan w:val="3"/>
            <w:tcBorders>
              <w:top w:val="single" w:color="000000" w:sz="6" w:space="0"/>
              <w:left w:val="nil"/>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rPr>
              <w:t>本年处理决定数量</w:t>
            </w:r>
          </w:p>
        </w:tc>
      </w:tr>
      <w:tr>
        <w:tblPrEx>
          <w:tblCellMar>
            <w:top w:w="15" w:type="dxa"/>
            <w:left w:w="28" w:type="dxa"/>
            <w:bottom w:w="15" w:type="dxa"/>
            <w:right w:w="28" w:type="dxa"/>
          </w:tblCellMar>
        </w:tblPrEx>
        <w:trPr>
          <w:trHeight w:val="539" w:hRule="atLeast"/>
          <w:jc w:val="center"/>
        </w:trPr>
        <w:tc>
          <w:tcPr>
            <w:tcW w:w="1394" w:type="pct"/>
            <w:tcBorders>
              <w:top w:val="nil"/>
              <w:left w:val="single" w:color="000000" w:sz="6" w:space="0"/>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rPr>
              <w:t>行政处罚</w:t>
            </w:r>
          </w:p>
        </w:tc>
        <w:tc>
          <w:tcPr>
            <w:tcW w:w="3605" w:type="pct"/>
            <w:gridSpan w:val="3"/>
            <w:tcBorders>
              <w:top w:val="nil"/>
              <w:left w:val="nil"/>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973269</w:t>
            </w:r>
          </w:p>
        </w:tc>
      </w:tr>
      <w:tr>
        <w:tblPrEx>
          <w:tblCellMar>
            <w:top w:w="15" w:type="dxa"/>
            <w:left w:w="28" w:type="dxa"/>
            <w:bottom w:w="15" w:type="dxa"/>
            <w:right w:w="28" w:type="dxa"/>
          </w:tblCellMar>
        </w:tblPrEx>
        <w:trPr>
          <w:trHeight w:val="539" w:hRule="atLeast"/>
          <w:jc w:val="center"/>
        </w:trPr>
        <w:tc>
          <w:tcPr>
            <w:tcW w:w="1394" w:type="pct"/>
            <w:tcBorders>
              <w:top w:val="nil"/>
              <w:left w:val="single" w:color="000000" w:sz="6" w:space="0"/>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rPr>
              <w:t>行政强制</w:t>
            </w:r>
          </w:p>
        </w:tc>
        <w:tc>
          <w:tcPr>
            <w:tcW w:w="3605" w:type="pct"/>
            <w:gridSpan w:val="3"/>
            <w:tcBorders>
              <w:top w:val="nil"/>
              <w:left w:val="nil"/>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10356</w:t>
            </w:r>
          </w:p>
        </w:tc>
      </w:tr>
      <w:tr>
        <w:tblPrEx>
          <w:tblCellMar>
            <w:top w:w="15" w:type="dxa"/>
            <w:left w:w="28" w:type="dxa"/>
            <w:bottom w:w="15" w:type="dxa"/>
            <w:right w:w="28" w:type="dxa"/>
          </w:tblCellMar>
        </w:tblPrEx>
        <w:trPr>
          <w:trHeight w:val="539" w:hRule="atLeast"/>
          <w:jc w:val="center"/>
        </w:trPr>
        <w:tc>
          <w:tcPr>
            <w:tcW w:w="5000" w:type="pct"/>
            <w:gridSpan w:val="4"/>
            <w:tcBorders>
              <w:top w:val="nil"/>
              <w:left w:val="single" w:color="000000" w:sz="6" w:space="0"/>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黑体" w:cs="Times New Roman"/>
              </w:rPr>
            </w:pPr>
            <w:r>
              <w:rPr>
                <w:rFonts w:hint="default" w:ascii="Times New Roman" w:hAnsi="Times New Roman" w:eastAsia="黑体" w:cs="Times New Roman"/>
              </w:rPr>
              <w:t>第二十条第（八）项</w:t>
            </w:r>
          </w:p>
        </w:tc>
      </w:tr>
      <w:tr>
        <w:tblPrEx>
          <w:tblCellMar>
            <w:top w:w="15" w:type="dxa"/>
            <w:left w:w="28" w:type="dxa"/>
            <w:bottom w:w="15" w:type="dxa"/>
            <w:right w:w="28" w:type="dxa"/>
          </w:tblCellMar>
        </w:tblPrEx>
        <w:trPr>
          <w:trHeight w:val="539" w:hRule="atLeast"/>
          <w:jc w:val="center"/>
        </w:trPr>
        <w:tc>
          <w:tcPr>
            <w:tcW w:w="1394" w:type="pct"/>
            <w:tcBorders>
              <w:top w:val="nil"/>
              <w:left w:val="single" w:color="000000" w:sz="6" w:space="0"/>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rPr>
              <w:t>信息内容</w:t>
            </w:r>
          </w:p>
        </w:tc>
        <w:tc>
          <w:tcPr>
            <w:tcW w:w="3605" w:type="pct"/>
            <w:gridSpan w:val="3"/>
            <w:tcBorders>
              <w:top w:val="nil"/>
              <w:left w:val="nil"/>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rPr>
              <w:t>本年收费金额（单位：万元）</w:t>
            </w:r>
          </w:p>
        </w:tc>
      </w:tr>
      <w:tr>
        <w:tblPrEx>
          <w:tblCellMar>
            <w:top w:w="15" w:type="dxa"/>
            <w:left w:w="28" w:type="dxa"/>
            <w:bottom w:w="15" w:type="dxa"/>
            <w:right w:w="28" w:type="dxa"/>
          </w:tblCellMar>
        </w:tblPrEx>
        <w:trPr>
          <w:trHeight w:val="539" w:hRule="atLeast"/>
          <w:jc w:val="center"/>
        </w:trPr>
        <w:tc>
          <w:tcPr>
            <w:tcW w:w="1394" w:type="pct"/>
            <w:tcBorders>
              <w:top w:val="nil"/>
              <w:left w:val="single" w:color="000000" w:sz="6" w:space="0"/>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rPr>
            </w:pPr>
            <w:r>
              <w:rPr>
                <w:rFonts w:hint="default" w:ascii="Times New Roman" w:hAnsi="Times New Roman" w:eastAsia="仿宋_GB2312" w:cs="Times New Roman"/>
              </w:rPr>
              <w:t>行政事业性收费</w:t>
            </w:r>
          </w:p>
        </w:tc>
        <w:tc>
          <w:tcPr>
            <w:tcW w:w="3605" w:type="pct"/>
            <w:gridSpan w:val="3"/>
            <w:tcBorders>
              <w:top w:val="nil"/>
              <w:left w:val="nil"/>
              <w:bottom w:val="single" w:color="000000" w:sz="6" w:space="0"/>
              <w:right w:val="single" w:color="000000" w:sz="6" w:space="0"/>
            </w:tcBorders>
            <w:noWrap w:val="0"/>
            <w:vAlign w:val="center"/>
          </w:tcPr>
          <w:p>
            <w:pPr>
              <w:pStyle w:val="12"/>
              <w:spacing w:beforeAutospacing="0" w:afterAutospacing="0" w:line="380" w:lineRule="exact"/>
              <w:jc w:val="center"/>
              <w:textAlignment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48403</w:t>
            </w:r>
          </w:p>
        </w:tc>
      </w:tr>
    </w:tbl>
    <w:p>
      <w:pPr>
        <w:adjustRightInd w:val="0"/>
        <w:snapToGrid w:val="0"/>
        <w:spacing w:line="604" w:lineRule="exact"/>
        <w:ind w:firstLine="640" w:firstLineChars="200"/>
        <w:rPr>
          <w:rFonts w:ascii="Times New Roman" w:eastAsia="黑体"/>
          <w:color w:val="000000"/>
          <w:sz w:val="32"/>
          <w:szCs w:val="32"/>
        </w:rPr>
      </w:pPr>
      <w:r>
        <w:rPr>
          <w:rFonts w:hint="eastAsia" w:ascii="Times New Roman" w:eastAsia="黑体"/>
          <w:color w:val="000000"/>
          <w:sz w:val="32"/>
          <w:szCs w:val="32"/>
        </w:rPr>
        <w:t>三、</w:t>
      </w:r>
      <w:r>
        <w:rPr>
          <w:rFonts w:ascii="Times New Roman" w:eastAsia="黑体"/>
          <w:color w:val="000000"/>
          <w:sz w:val="32"/>
          <w:szCs w:val="32"/>
        </w:rPr>
        <w:t>收到和处理政府信息公开申请情况</w:t>
      </w:r>
    </w:p>
    <w:tbl>
      <w:tblPr>
        <w:tblStyle w:val="14"/>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28" w:type="dxa"/>
          <w:bottom w:w="15" w:type="dxa"/>
          <w:right w:w="28" w:type="dxa"/>
        </w:tblCellMar>
      </w:tblPr>
      <w:tblGrid>
        <w:gridCol w:w="769"/>
        <w:gridCol w:w="1125"/>
        <w:gridCol w:w="2284"/>
        <w:gridCol w:w="881"/>
        <w:gridCol w:w="662"/>
        <w:gridCol w:w="799"/>
        <w:gridCol w:w="720"/>
        <w:gridCol w:w="576"/>
        <w:gridCol w:w="575"/>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2305" w:type="pct"/>
            <w:gridSpan w:val="3"/>
            <w:vMerge w:val="restar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黑体" w:cs="Times New Roman"/>
              </w:rPr>
            </w:pPr>
            <w:r>
              <w:rPr>
                <w:rFonts w:ascii="Times New Roman" w:eastAsia="黑体" w:cs="Times New Roman"/>
              </w:rPr>
              <w:t>（本列数据的勾稽关系为：第一项加第二项之和，等于第三项加第四项之和）</w:t>
            </w:r>
          </w:p>
        </w:tc>
        <w:tc>
          <w:tcPr>
            <w:tcW w:w="2695" w:type="pct"/>
            <w:gridSpan w:val="7"/>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黑体" w:cs="Times New Roman"/>
              </w:rPr>
            </w:pPr>
            <w:r>
              <w:rPr>
                <w:rFonts w:ascii="Times New Roman" w:eastAsia="黑体" w:cs="Times New Roma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2305" w:type="pct"/>
            <w:gridSpan w:val="3"/>
            <w:vMerge w:val="continue"/>
            <w:noWrap w:val="0"/>
            <w:tcMar>
              <w:top w:w="0" w:type="dxa"/>
              <w:left w:w="0" w:type="dxa"/>
              <w:bottom w:w="0" w:type="dxa"/>
              <w:right w:w="0" w:type="dxa"/>
            </w:tcMar>
            <w:vAlign w:val="center"/>
          </w:tcPr>
          <w:p>
            <w:pPr>
              <w:spacing w:line="340" w:lineRule="exact"/>
              <w:jc w:val="center"/>
              <w:rPr>
                <w:rFonts w:ascii="Times New Roman" w:eastAsia="黑体"/>
                <w:sz w:val="24"/>
                <w:szCs w:val="24"/>
              </w:rPr>
            </w:pPr>
          </w:p>
        </w:tc>
        <w:tc>
          <w:tcPr>
            <w:tcW w:w="486" w:type="pct"/>
            <w:vMerge w:val="restar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黑体" w:cs="Times New Roman"/>
              </w:rPr>
            </w:pPr>
            <w:r>
              <w:rPr>
                <w:rFonts w:ascii="Times New Roman" w:eastAsia="黑体" w:cs="Times New Roman"/>
              </w:rPr>
              <w:t>自然人</w:t>
            </w:r>
          </w:p>
        </w:tc>
        <w:tc>
          <w:tcPr>
            <w:tcW w:w="1838" w:type="pct"/>
            <w:gridSpan w:val="5"/>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黑体" w:cs="Times New Roman"/>
              </w:rPr>
            </w:pPr>
            <w:r>
              <w:rPr>
                <w:rFonts w:ascii="Times New Roman" w:eastAsia="黑体" w:cs="Times New Roman"/>
              </w:rPr>
              <w:t>法人或其他组织</w:t>
            </w:r>
          </w:p>
        </w:tc>
        <w:tc>
          <w:tcPr>
            <w:tcW w:w="370" w:type="pct"/>
            <w:vMerge w:val="restar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黑体" w:cs="Times New Roman"/>
              </w:rPr>
            </w:pPr>
            <w:r>
              <w:rPr>
                <w:rFonts w:ascii="Times New Roman" w:eastAsia="黑体" w:cs="Times New Roma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2305" w:type="pct"/>
            <w:gridSpan w:val="3"/>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486"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365"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黑体" w:cs="Times New Roman"/>
              </w:rPr>
            </w:pPr>
            <w:r>
              <w:rPr>
                <w:rFonts w:ascii="Times New Roman" w:eastAsia="黑体" w:cs="Times New Roman"/>
              </w:rPr>
              <w:t>商业</w:t>
            </w:r>
          </w:p>
          <w:p>
            <w:pPr>
              <w:pStyle w:val="12"/>
              <w:adjustRightInd w:val="0"/>
              <w:snapToGrid w:val="0"/>
              <w:spacing w:beforeAutospacing="0" w:afterAutospacing="0" w:line="340" w:lineRule="exact"/>
              <w:jc w:val="center"/>
              <w:rPr>
                <w:rFonts w:ascii="Times New Roman" w:eastAsia="黑体" w:cs="Times New Roman"/>
              </w:rPr>
            </w:pPr>
            <w:r>
              <w:rPr>
                <w:rFonts w:ascii="Times New Roman" w:eastAsia="黑体" w:cs="Times New Roman"/>
              </w:rPr>
              <w:t>企业</w:t>
            </w:r>
          </w:p>
        </w:tc>
        <w:tc>
          <w:tcPr>
            <w:tcW w:w="441"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黑体" w:cs="Times New Roman"/>
              </w:rPr>
            </w:pPr>
            <w:r>
              <w:rPr>
                <w:rFonts w:ascii="Times New Roman" w:eastAsia="黑体" w:cs="Times New Roman"/>
              </w:rPr>
              <w:t>科研</w:t>
            </w:r>
          </w:p>
          <w:p>
            <w:pPr>
              <w:pStyle w:val="12"/>
              <w:adjustRightInd w:val="0"/>
              <w:snapToGrid w:val="0"/>
              <w:spacing w:beforeAutospacing="0" w:afterAutospacing="0" w:line="340" w:lineRule="exact"/>
              <w:jc w:val="center"/>
              <w:rPr>
                <w:rFonts w:ascii="Times New Roman" w:eastAsia="黑体" w:cs="Times New Roman"/>
              </w:rPr>
            </w:pPr>
            <w:r>
              <w:rPr>
                <w:rFonts w:ascii="Times New Roman" w:eastAsia="黑体" w:cs="Times New Roman"/>
              </w:rPr>
              <w:t>机构</w:t>
            </w:r>
          </w:p>
        </w:tc>
        <w:tc>
          <w:tcPr>
            <w:tcW w:w="397"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黑体" w:cs="Times New Roman"/>
              </w:rPr>
            </w:pPr>
            <w:r>
              <w:rPr>
                <w:rFonts w:ascii="Times New Roman" w:eastAsia="黑体" w:cs="Times New Roman"/>
              </w:rPr>
              <w:t>社会公益组织</w:t>
            </w:r>
          </w:p>
        </w:tc>
        <w:tc>
          <w:tcPr>
            <w:tcW w:w="318"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黑体" w:cs="Times New Roman"/>
              </w:rPr>
            </w:pPr>
            <w:r>
              <w:rPr>
                <w:rFonts w:ascii="Times New Roman" w:eastAsia="黑体" w:cs="Times New Roman"/>
              </w:rPr>
              <w:t>法律服务机构</w:t>
            </w:r>
          </w:p>
        </w:tc>
        <w:tc>
          <w:tcPr>
            <w:tcW w:w="317"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黑体" w:cs="Times New Roman"/>
              </w:rPr>
            </w:pPr>
            <w:r>
              <w:rPr>
                <w:rFonts w:ascii="Times New Roman" w:eastAsia="黑体" w:cs="Times New Roman"/>
              </w:rPr>
              <w:t>其他</w:t>
            </w:r>
          </w:p>
        </w:tc>
        <w:tc>
          <w:tcPr>
            <w:tcW w:w="370"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2305" w:type="pct"/>
            <w:gridSpan w:val="3"/>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ascii="Times New Roman" w:eastAsia="仿宋_GB2312" w:cs="Times New Roman"/>
              </w:rPr>
              <w:t>一、本年新收政府信息公开申请数量</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1302</w:t>
            </w:r>
          </w:p>
        </w:tc>
        <w:tc>
          <w:tcPr>
            <w:tcW w:w="365"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25</w:t>
            </w:r>
          </w:p>
        </w:tc>
        <w:tc>
          <w:tcPr>
            <w:tcW w:w="441"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0</w:t>
            </w:r>
          </w:p>
        </w:tc>
        <w:tc>
          <w:tcPr>
            <w:tcW w:w="397"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0</w:t>
            </w:r>
          </w:p>
        </w:tc>
        <w:tc>
          <w:tcPr>
            <w:tcW w:w="318"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8</w:t>
            </w:r>
          </w:p>
        </w:tc>
        <w:tc>
          <w:tcPr>
            <w:tcW w:w="317"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5</w:t>
            </w:r>
          </w:p>
        </w:tc>
        <w:tc>
          <w:tcPr>
            <w:tcW w:w="37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1340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2306" w:type="pct"/>
            <w:gridSpan w:val="3"/>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ascii="Times New Roman" w:eastAsia="仿宋_GB2312" w:cs="Times New Roman"/>
              </w:rPr>
              <w:t>二、上年结转政府信息公开申请数量</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23</w:t>
            </w:r>
          </w:p>
        </w:tc>
        <w:tc>
          <w:tcPr>
            <w:tcW w:w="365"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3</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5"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71"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5" w:type="pct"/>
            <w:vMerge w:val="restar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ascii="Times New Roman" w:eastAsia="仿宋_GB2312" w:cs="Times New Roman"/>
              </w:rPr>
              <w:t>三、本年度办理结果</w:t>
            </w:r>
          </w:p>
        </w:tc>
        <w:tc>
          <w:tcPr>
            <w:tcW w:w="1881" w:type="pct"/>
            <w:gridSpan w:val="2"/>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ascii="Times New Roman" w:eastAsia="仿宋_GB2312" w:cs="Times New Roman"/>
              </w:rPr>
              <w:t>（一）予以公开</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460</w:t>
            </w:r>
          </w:p>
        </w:tc>
        <w:tc>
          <w:tcPr>
            <w:tcW w:w="365"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5</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18"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5</w:t>
            </w:r>
          </w:p>
        </w:tc>
        <w:tc>
          <w:tcPr>
            <w:tcW w:w="317"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0</w:t>
            </w:r>
          </w:p>
        </w:tc>
        <w:tc>
          <w:tcPr>
            <w:tcW w:w="371"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continue"/>
            <w:noWrap w:val="0"/>
            <w:tcMar>
              <w:top w:w="0" w:type="dxa"/>
              <w:left w:w="0" w:type="dxa"/>
              <w:bottom w:w="0" w:type="dxa"/>
              <w:right w:w="0" w:type="dxa"/>
            </w:tcMar>
            <w:vAlign w:val="center"/>
          </w:tcPr>
          <w:p>
            <w:pPr>
              <w:adjustRightInd w:val="0"/>
              <w:snapToGrid w:val="0"/>
              <w:spacing w:line="340" w:lineRule="exact"/>
              <w:jc w:val="center"/>
              <w:rPr>
                <w:rFonts w:ascii="Times New Roman" w:eastAsia="仿宋_GB2312"/>
                <w:sz w:val="24"/>
                <w:szCs w:val="24"/>
              </w:rPr>
            </w:pPr>
          </w:p>
        </w:tc>
        <w:tc>
          <w:tcPr>
            <w:tcW w:w="1881" w:type="pct"/>
            <w:gridSpan w:val="2"/>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ascii="Times New Roman" w:eastAsia="仿宋_GB2312" w:cs="Times New Roman"/>
              </w:rPr>
              <w:t>（二）部分公开（区分处理的，只计这一情形，不计其他情形）</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228</w:t>
            </w:r>
          </w:p>
        </w:tc>
        <w:tc>
          <w:tcPr>
            <w:tcW w:w="662"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18"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3</w:t>
            </w:r>
          </w:p>
        </w:tc>
        <w:tc>
          <w:tcPr>
            <w:tcW w:w="317"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2</w:t>
            </w:r>
          </w:p>
        </w:tc>
        <w:tc>
          <w:tcPr>
            <w:tcW w:w="37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continue"/>
            <w:noWrap w:val="0"/>
            <w:tcMar>
              <w:top w:w="0" w:type="dxa"/>
              <w:left w:w="0" w:type="dxa"/>
              <w:bottom w:w="0" w:type="dxa"/>
              <w:right w:w="0" w:type="dxa"/>
            </w:tcMar>
            <w:vAlign w:val="center"/>
          </w:tcPr>
          <w:p>
            <w:pPr>
              <w:adjustRightInd w:val="0"/>
              <w:snapToGrid w:val="0"/>
              <w:spacing w:line="340" w:lineRule="exact"/>
              <w:jc w:val="center"/>
              <w:rPr>
                <w:rFonts w:ascii="Times New Roman" w:eastAsia="仿宋_GB2312"/>
                <w:sz w:val="24"/>
                <w:szCs w:val="24"/>
              </w:rPr>
            </w:pPr>
          </w:p>
        </w:tc>
        <w:tc>
          <w:tcPr>
            <w:tcW w:w="621" w:type="pct"/>
            <w:vMerge w:val="restar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ascii="Times New Roman" w:eastAsia="仿宋_GB2312" w:cs="Times New Roman"/>
              </w:rPr>
              <w:t>（三）</w:t>
            </w:r>
          </w:p>
          <w:p>
            <w:pPr>
              <w:pStyle w:val="12"/>
              <w:adjustRightInd w:val="0"/>
              <w:snapToGrid w:val="0"/>
              <w:spacing w:beforeAutospacing="0" w:afterAutospacing="0" w:line="340" w:lineRule="exact"/>
              <w:jc w:val="center"/>
              <w:rPr>
                <w:rFonts w:ascii="Times New Roman" w:eastAsia="仿宋_GB2312" w:cs="Times New Roman"/>
              </w:rPr>
            </w:pPr>
            <w:r>
              <w:rPr>
                <w:rFonts w:ascii="Times New Roman" w:eastAsia="仿宋_GB2312" w:cs="Times New Roman"/>
              </w:rPr>
              <w:t>不予公开</w:t>
            </w:r>
          </w:p>
        </w:tc>
        <w:tc>
          <w:tcPr>
            <w:tcW w:w="126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both"/>
              <w:rPr>
                <w:rFonts w:ascii="Times New Roman" w:eastAsia="仿宋_GB2312" w:cs="Times New Roman"/>
              </w:rPr>
            </w:pPr>
            <w:r>
              <w:rPr>
                <w:rFonts w:ascii="Times New Roman" w:eastAsia="仿宋_GB2312" w:cs="Times New Roman"/>
              </w:rPr>
              <w:t>1.属于国家秘密</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6</w:t>
            </w:r>
          </w:p>
        </w:tc>
        <w:tc>
          <w:tcPr>
            <w:tcW w:w="662"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5"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7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continue"/>
            <w:noWrap w:val="0"/>
            <w:tcMar>
              <w:top w:w="0" w:type="dxa"/>
              <w:left w:w="0" w:type="dxa"/>
              <w:bottom w:w="0" w:type="dxa"/>
              <w:right w:w="0" w:type="dxa"/>
            </w:tcMar>
            <w:vAlign w:val="center"/>
          </w:tcPr>
          <w:p>
            <w:pPr>
              <w:adjustRightInd w:val="0"/>
              <w:snapToGrid w:val="0"/>
              <w:spacing w:line="340" w:lineRule="exact"/>
              <w:jc w:val="center"/>
              <w:rPr>
                <w:rFonts w:ascii="Times New Roman" w:eastAsia="仿宋_GB2312"/>
                <w:sz w:val="24"/>
                <w:szCs w:val="24"/>
              </w:rPr>
            </w:pPr>
          </w:p>
        </w:tc>
        <w:tc>
          <w:tcPr>
            <w:tcW w:w="621"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126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both"/>
              <w:rPr>
                <w:rFonts w:ascii="Times New Roman" w:eastAsia="仿宋_GB2312" w:cs="Times New Roman"/>
              </w:rPr>
            </w:pPr>
            <w:r>
              <w:rPr>
                <w:rFonts w:ascii="Times New Roman" w:eastAsia="仿宋_GB2312" w:cs="Times New Roman"/>
              </w:rPr>
              <w:t>2.其他法律行政法规禁止公开</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4</w:t>
            </w:r>
          </w:p>
        </w:tc>
        <w:tc>
          <w:tcPr>
            <w:tcW w:w="662"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5"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7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continue"/>
            <w:noWrap w:val="0"/>
            <w:tcMar>
              <w:top w:w="0" w:type="dxa"/>
              <w:left w:w="0" w:type="dxa"/>
              <w:bottom w:w="0" w:type="dxa"/>
              <w:right w:w="0" w:type="dxa"/>
            </w:tcMar>
            <w:vAlign w:val="center"/>
          </w:tcPr>
          <w:p>
            <w:pPr>
              <w:adjustRightInd w:val="0"/>
              <w:snapToGrid w:val="0"/>
              <w:spacing w:line="340" w:lineRule="exact"/>
              <w:jc w:val="center"/>
              <w:rPr>
                <w:rFonts w:ascii="Times New Roman" w:eastAsia="仿宋_GB2312"/>
                <w:sz w:val="24"/>
                <w:szCs w:val="24"/>
              </w:rPr>
            </w:pPr>
          </w:p>
        </w:tc>
        <w:tc>
          <w:tcPr>
            <w:tcW w:w="621"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126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both"/>
              <w:rPr>
                <w:rFonts w:ascii="Times New Roman" w:eastAsia="仿宋_GB2312" w:cs="Times New Roman"/>
              </w:rPr>
            </w:pPr>
            <w:r>
              <w:rPr>
                <w:rFonts w:ascii="Times New Roman" w:eastAsia="仿宋_GB2312" w:cs="Times New Roman"/>
              </w:rPr>
              <w:t>3.</w:t>
            </w:r>
            <w:r>
              <w:rPr>
                <w:rFonts w:ascii="Times New Roman" w:eastAsia="仿宋_GB2312" w:cs="Times New Roman"/>
                <w:spacing w:val="-12"/>
              </w:rPr>
              <w:t>危及“三安全一稳定</w:t>
            </w:r>
            <w:r>
              <w:rPr>
                <w:rFonts w:ascii="Times New Roman" w:eastAsia="仿宋_GB2312" w:cs="Times New Roman"/>
              </w:rPr>
              <w:t>”</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6</w:t>
            </w:r>
          </w:p>
        </w:tc>
        <w:tc>
          <w:tcPr>
            <w:tcW w:w="662"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5"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7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continue"/>
            <w:noWrap w:val="0"/>
            <w:tcMar>
              <w:top w:w="0" w:type="dxa"/>
              <w:left w:w="0" w:type="dxa"/>
              <w:bottom w:w="0" w:type="dxa"/>
              <w:right w:w="0" w:type="dxa"/>
            </w:tcMar>
            <w:vAlign w:val="center"/>
          </w:tcPr>
          <w:p>
            <w:pPr>
              <w:adjustRightInd w:val="0"/>
              <w:snapToGrid w:val="0"/>
              <w:spacing w:line="340" w:lineRule="exact"/>
              <w:jc w:val="center"/>
              <w:rPr>
                <w:rFonts w:ascii="Times New Roman" w:eastAsia="仿宋_GB2312"/>
                <w:sz w:val="24"/>
                <w:szCs w:val="24"/>
              </w:rPr>
            </w:pPr>
          </w:p>
        </w:tc>
        <w:tc>
          <w:tcPr>
            <w:tcW w:w="621"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126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both"/>
              <w:rPr>
                <w:rFonts w:ascii="Times New Roman" w:eastAsia="仿宋_GB2312" w:cs="Times New Roman"/>
              </w:rPr>
            </w:pPr>
            <w:r>
              <w:rPr>
                <w:rFonts w:ascii="Times New Roman" w:eastAsia="仿宋_GB2312" w:cs="Times New Roman"/>
              </w:rPr>
              <w:t>4.</w:t>
            </w:r>
            <w:r>
              <w:rPr>
                <w:rFonts w:ascii="Times New Roman" w:eastAsia="仿宋_GB2312" w:cs="Times New Roman"/>
                <w:spacing w:val="-12"/>
              </w:rPr>
              <w:t>保护第三方合法权益</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10</w:t>
            </w:r>
          </w:p>
        </w:tc>
        <w:tc>
          <w:tcPr>
            <w:tcW w:w="662"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5"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7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continue"/>
            <w:noWrap w:val="0"/>
            <w:tcMar>
              <w:top w:w="0" w:type="dxa"/>
              <w:left w:w="0" w:type="dxa"/>
              <w:bottom w:w="0" w:type="dxa"/>
              <w:right w:w="0" w:type="dxa"/>
            </w:tcMar>
            <w:vAlign w:val="center"/>
          </w:tcPr>
          <w:p>
            <w:pPr>
              <w:adjustRightInd w:val="0"/>
              <w:snapToGrid w:val="0"/>
              <w:spacing w:line="340" w:lineRule="exact"/>
              <w:jc w:val="center"/>
              <w:rPr>
                <w:rFonts w:ascii="Times New Roman" w:eastAsia="仿宋_GB2312"/>
                <w:sz w:val="24"/>
                <w:szCs w:val="24"/>
              </w:rPr>
            </w:pPr>
          </w:p>
        </w:tc>
        <w:tc>
          <w:tcPr>
            <w:tcW w:w="621"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126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both"/>
              <w:rPr>
                <w:rFonts w:ascii="Times New Roman" w:eastAsia="仿宋_GB2312" w:cs="Times New Roman"/>
              </w:rPr>
            </w:pPr>
            <w:r>
              <w:rPr>
                <w:rFonts w:ascii="Times New Roman" w:eastAsia="仿宋_GB2312" w:cs="Times New Roman"/>
              </w:rPr>
              <w:t>5.属于三类内部事务信息</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12</w:t>
            </w:r>
          </w:p>
        </w:tc>
        <w:tc>
          <w:tcPr>
            <w:tcW w:w="662"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5"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7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continue"/>
            <w:noWrap w:val="0"/>
            <w:tcMar>
              <w:top w:w="0" w:type="dxa"/>
              <w:left w:w="0" w:type="dxa"/>
              <w:bottom w:w="0" w:type="dxa"/>
              <w:right w:w="0" w:type="dxa"/>
            </w:tcMar>
            <w:vAlign w:val="center"/>
          </w:tcPr>
          <w:p>
            <w:pPr>
              <w:adjustRightInd w:val="0"/>
              <w:snapToGrid w:val="0"/>
              <w:spacing w:line="340" w:lineRule="exact"/>
              <w:jc w:val="center"/>
              <w:rPr>
                <w:rFonts w:ascii="Times New Roman" w:eastAsia="仿宋_GB2312"/>
                <w:sz w:val="24"/>
                <w:szCs w:val="24"/>
              </w:rPr>
            </w:pPr>
          </w:p>
        </w:tc>
        <w:tc>
          <w:tcPr>
            <w:tcW w:w="621"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126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both"/>
              <w:rPr>
                <w:rFonts w:ascii="Times New Roman" w:eastAsia="仿宋_GB2312" w:cs="Times New Roman"/>
              </w:rPr>
            </w:pPr>
            <w:r>
              <w:rPr>
                <w:rFonts w:ascii="Times New Roman" w:eastAsia="仿宋_GB2312" w:cs="Times New Roman"/>
              </w:rPr>
              <w:t>6.</w:t>
            </w:r>
            <w:r>
              <w:rPr>
                <w:rFonts w:ascii="Times New Roman" w:eastAsia="仿宋_GB2312" w:cs="Times New Roman"/>
                <w:spacing w:val="-12"/>
              </w:rPr>
              <w:t>属于四类过程性信息</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2</w:t>
            </w:r>
          </w:p>
        </w:tc>
        <w:tc>
          <w:tcPr>
            <w:tcW w:w="365"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1</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5"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7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continue"/>
            <w:noWrap w:val="0"/>
            <w:tcMar>
              <w:top w:w="0" w:type="dxa"/>
              <w:left w:w="0" w:type="dxa"/>
              <w:bottom w:w="0" w:type="dxa"/>
              <w:right w:w="0" w:type="dxa"/>
            </w:tcMar>
            <w:vAlign w:val="center"/>
          </w:tcPr>
          <w:p>
            <w:pPr>
              <w:adjustRightInd w:val="0"/>
              <w:snapToGrid w:val="0"/>
              <w:spacing w:line="340" w:lineRule="exact"/>
              <w:jc w:val="center"/>
              <w:rPr>
                <w:rFonts w:ascii="Times New Roman" w:eastAsia="仿宋_GB2312"/>
                <w:sz w:val="24"/>
                <w:szCs w:val="24"/>
              </w:rPr>
            </w:pPr>
          </w:p>
        </w:tc>
        <w:tc>
          <w:tcPr>
            <w:tcW w:w="621"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126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both"/>
              <w:rPr>
                <w:rFonts w:ascii="Times New Roman" w:eastAsia="仿宋_GB2312" w:cs="Times New Roman"/>
              </w:rPr>
            </w:pPr>
            <w:r>
              <w:rPr>
                <w:rFonts w:ascii="Times New Roman" w:eastAsia="仿宋_GB2312" w:cs="Times New Roman"/>
              </w:rPr>
              <w:t>7.属于行政执法案卷</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6</w:t>
            </w:r>
          </w:p>
        </w:tc>
        <w:tc>
          <w:tcPr>
            <w:tcW w:w="662"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5"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7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continue"/>
            <w:noWrap w:val="0"/>
            <w:tcMar>
              <w:top w:w="0" w:type="dxa"/>
              <w:left w:w="0" w:type="dxa"/>
              <w:bottom w:w="0" w:type="dxa"/>
              <w:right w:w="0" w:type="dxa"/>
            </w:tcMar>
            <w:vAlign w:val="center"/>
          </w:tcPr>
          <w:p>
            <w:pPr>
              <w:adjustRightInd w:val="0"/>
              <w:snapToGrid w:val="0"/>
              <w:spacing w:line="340" w:lineRule="exact"/>
              <w:jc w:val="center"/>
              <w:rPr>
                <w:rFonts w:ascii="Times New Roman" w:eastAsia="仿宋_GB2312"/>
                <w:sz w:val="24"/>
                <w:szCs w:val="24"/>
              </w:rPr>
            </w:pPr>
          </w:p>
        </w:tc>
        <w:tc>
          <w:tcPr>
            <w:tcW w:w="621"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126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both"/>
              <w:rPr>
                <w:rFonts w:ascii="Times New Roman" w:eastAsia="仿宋_GB2312" w:cs="Times New Roman"/>
              </w:rPr>
            </w:pPr>
            <w:r>
              <w:rPr>
                <w:rFonts w:ascii="Times New Roman" w:eastAsia="仿宋_GB2312" w:cs="Times New Roman"/>
              </w:rPr>
              <w:t>8.属于行政查询事项</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5</w:t>
            </w:r>
          </w:p>
        </w:tc>
        <w:tc>
          <w:tcPr>
            <w:tcW w:w="662"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5"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7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continue"/>
            <w:noWrap w:val="0"/>
            <w:tcMar>
              <w:top w:w="0" w:type="dxa"/>
              <w:left w:w="0" w:type="dxa"/>
              <w:bottom w:w="0" w:type="dxa"/>
              <w:right w:w="0" w:type="dxa"/>
            </w:tcMar>
            <w:vAlign w:val="center"/>
          </w:tcPr>
          <w:p>
            <w:pPr>
              <w:adjustRightInd w:val="0"/>
              <w:snapToGrid w:val="0"/>
              <w:spacing w:line="340" w:lineRule="exact"/>
              <w:jc w:val="center"/>
              <w:rPr>
                <w:rFonts w:ascii="Times New Roman" w:eastAsia="仿宋_GB2312"/>
                <w:sz w:val="24"/>
                <w:szCs w:val="24"/>
              </w:rPr>
            </w:pPr>
          </w:p>
        </w:tc>
        <w:tc>
          <w:tcPr>
            <w:tcW w:w="621" w:type="pct"/>
            <w:vMerge w:val="restar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ascii="Times New Roman" w:eastAsia="仿宋_GB2312" w:cs="Times New Roman"/>
              </w:rPr>
              <w:t>（四）</w:t>
            </w:r>
          </w:p>
          <w:p>
            <w:pPr>
              <w:pStyle w:val="12"/>
              <w:adjustRightInd w:val="0"/>
              <w:snapToGrid w:val="0"/>
              <w:spacing w:beforeAutospacing="0" w:afterAutospacing="0" w:line="340" w:lineRule="exact"/>
              <w:jc w:val="center"/>
              <w:rPr>
                <w:rFonts w:ascii="Times New Roman" w:eastAsia="仿宋_GB2312" w:cs="Times New Roman"/>
              </w:rPr>
            </w:pPr>
            <w:r>
              <w:rPr>
                <w:rFonts w:ascii="Times New Roman" w:eastAsia="仿宋_GB2312" w:cs="Times New Roman"/>
              </w:rPr>
              <w:t>无法提供</w:t>
            </w:r>
          </w:p>
        </w:tc>
        <w:tc>
          <w:tcPr>
            <w:tcW w:w="126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both"/>
              <w:rPr>
                <w:rFonts w:ascii="Times New Roman" w:eastAsia="仿宋_GB2312" w:cs="Times New Roman"/>
              </w:rPr>
            </w:pPr>
            <w:r>
              <w:rPr>
                <w:rFonts w:ascii="Times New Roman" w:eastAsia="仿宋_GB2312" w:cs="Times New Roman"/>
              </w:rPr>
              <w:t>1.本机关不掌握相关政府信息</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481</w:t>
            </w:r>
          </w:p>
        </w:tc>
        <w:tc>
          <w:tcPr>
            <w:tcW w:w="365"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21</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17"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1</w:t>
            </w:r>
          </w:p>
        </w:tc>
        <w:tc>
          <w:tcPr>
            <w:tcW w:w="37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621"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126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both"/>
              <w:rPr>
                <w:rFonts w:ascii="Times New Roman" w:eastAsia="仿宋_GB2312" w:cs="Times New Roman"/>
              </w:rPr>
            </w:pPr>
            <w:r>
              <w:rPr>
                <w:rFonts w:ascii="Times New Roman" w:eastAsia="仿宋_GB2312" w:cs="Times New Roman"/>
              </w:rPr>
              <w:t>2.没有现成信息需要另行制作</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2</w:t>
            </w:r>
          </w:p>
        </w:tc>
        <w:tc>
          <w:tcPr>
            <w:tcW w:w="662"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5"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7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621"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126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both"/>
              <w:rPr>
                <w:rFonts w:ascii="Times New Roman" w:eastAsia="仿宋_GB2312" w:cs="Times New Roman"/>
              </w:rPr>
            </w:pPr>
            <w:r>
              <w:rPr>
                <w:rFonts w:ascii="Times New Roman" w:eastAsia="仿宋_GB2312" w:cs="Times New Roman"/>
              </w:rPr>
              <w:t>3.补正后申请内容仍不明确</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3</w:t>
            </w:r>
          </w:p>
        </w:tc>
        <w:tc>
          <w:tcPr>
            <w:tcW w:w="662"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5"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7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restart"/>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r>
              <w:rPr>
                <w:rFonts w:ascii="Times New Roman" w:eastAsia="仿宋_GB2312"/>
                <w:sz w:val="24"/>
                <w:szCs w:val="24"/>
              </w:rPr>
              <w:t>三、本年度办理结果</w:t>
            </w:r>
          </w:p>
        </w:tc>
        <w:tc>
          <w:tcPr>
            <w:tcW w:w="621" w:type="pct"/>
            <w:vMerge w:val="restar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ascii="Times New Roman" w:eastAsia="仿宋_GB2312" w:cs="Times New Roman"/>
              </w:rPr>
              <w:t>（五）</w:t>
            </w:r>
          </w:p>
          <w:p>
            <w:pPr>
              <w:pStyle w:val="12"/>
              <w:adjustRightInd w:val="0"/>
              <w:snapToGrid w:val="0"/>
              <w:spacing w:beforeAutospacing="0" w:afterAutospacing="0" w:line="340" w:lineRule="exact"/>
              <w:jc w:val="center"/>
              <w:rPr>
                <w:rFonts w:ascii="Times New Roman" w:eastAsia="仿宋_GB2312" w:cs="Times New Roman"/>
              </w:rPr>
            </w:pPr>
            <w:r>
              <w:rPr>
                <w:rFonts w:ascii="Times New Roman" w:eastAsia="仿宋_GB2312" w:cs="Times New Roman"/>
              </w:rPr>
              <w:t>不予处理</w:t>
            </w:r>
          </w:p>
        </w:tc>
        <w:tc>
          <w:tcPr>
            <w:tcW w:w="126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both"/>
              <w:rPr>
                <w:rFonts w:ascii="Times New Roman" w:eastAsia="仿宋_GB2312" w:cs="Times New Roman"/>
              </w:rPr>
            </w:pPr>
            <w:r>
              <w:rPr>
                <w:rFonts w:ascii="Times New Roman" w:eastAsia="仿宋_GB2312" w:cs="Times New Roman"/>
              </w:rPr>
              <w:t>1.</w:t>
            </w:r>
            <w:r>
              <w:rPr>
                <w:rFonts w:ascii="Times New Roman" w:eastAsia="仿宋_GB2312" w:cs="Times New Roman"/>
                <w:spacing w:val="-12"/>
              </w:rPr>
              <w:t>信访举报投诉类申请</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2</w:t>
            </w:r>
          </w:p>
        </w:tc>
        <w:tc>
          <w:tcPr>
            <w:tcW w:w="662"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5"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7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621"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126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both"/>
              <w:rPr>
                <w:rFonts w:ascii="Times New Roman" w:eastAsia="仿宋_GB2312" w:cs="Times New Roman"/>
              </w:rPr>
            </w:pPr>
            <w:r>
              <w:rPr>
                <w:rFonts w:ascii="Times New Roman" w:eastAsia="仿宋_GB2312" w:cs="Times New Roman"/>
              </w:rPr>
              <w:t>2.重复申请</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23</w:t>
            </w:r>
          </w:p>
        </w:tc>
        <w:tc>
          <w:tcPr>
            <w:tcW w:w="662"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5"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7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621"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126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both"/>
              <w:rPr>
                <w:rFonts w:ascii="Times New Roman" w:eastAsia="仿宋_GB2312" w:cs="Times New Roman"/>
              </w:rPr>
            </w:pPr>
            <w:r>
              <w:rPr>
                <w:rFonts w:ascii="Times New Roman" w:eastAsia="仿宋_GB2312" w:cs="Times New Roman"/>
              </w:rPr>
              <w:t>3.</w:t>
            </w:r>
            <w:r>
              <w:rPr>
                <w:rFonts w:ascii="Times New Roman" w:eastAsia="仿宋_GB2312" w:cs="Times New Roman"/>
                <w:spacing w:val="-12"/>
              </w:rPr>
              <w:t>要求提供公开出版物</w:t>
            </w:r>
          </w:p>
        </w:tc>
        <w:tc>
          <w:tcPr>
            <w:tcW w:w="881"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662"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5"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671"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621"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126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both"/>
              <w:rPr>
                <w:rFonts w:ascii="Times New Roman" w:eastAsia="仿宋_GB2312" w:cs="Times New Roman"/>
              </w:rPr>
            </w:pPr>
            <w:r>
              <w:rPr>
                <w:rFonts w:ascii="Times New Roman" w:eastAsia="仿宋_GB2312" w:cs="Times New Roman"/>
              </w:rPr>
              <w:t>4.无正当理由大量反复申请</w:t>
            </w:r>
          </w:p>
        </w:tc>
        <w:tc>
          <w:tcPr>
            <w:tcW w:w="881"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662"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5"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671"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621"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126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both"/>
              <w:rPr>
                <w:rFonts w:ascii="Times New Roman" w:eastAsia="仿宋_GB2312" w:cs="Times New Roman"/>
              </w:rPr>
            </w:pPr>
            <w:r>
              <w:rPr>
                <w:rFonts w:ascii="Times New Roman" w:eastAsia="仿宋_GB2312" w:cs="Times New Roman"/>
              </w:rPr>
              <w:t>5.</w:t>
            </w:r>
            <w:r>
              <w:rPr>
                <w:rFonts w:ascii="Times New Roman" w:eastAsia="仿宋_GB2312" w:cs="Times New Roman"/>
                <w:spacing w:val="-12"/>
              </w:rPr>
              <w:t>要求行政机关确认或重新出具已获取信息</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1</w:t>
            </w:r>
          </w:p>
        </w:tc>
        <w:tc>
          <w:tcPr>
            <w:tcW w:w="662"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5"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7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continue"/>
            <w:noWrap w:val="0"/>
            <w:vAlign w:val="center"/>
          </w:tcPr>
          <w:p>
            <w:pPr>
              <w:spacing w:line="340" w:lineRule="exact"/>
              <w:jc w:val="center"/>
              <w:rPr>
                <w:rFonts w:ascii="Times New Roman" w:eastAsia="仿宋_GB2312"/>
                <w:sz w:val="24"/>
                <w:szCs w:val="24"/>
              </w:rPr>
            </w:pPr>
          </w:p>
        </w:tc>
        <w:tc>
          <w:tcPr>
            <w:tcW w:w="621" w:type="pct"/>
            <w:vMerge w:val="restart"/>
            <w:noWrap w:val="0"/>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ascii="Times New Roman" w:eastAsia="仿宋_GB2312" w:cs="Times New Roman"/>
              </w:rPr>
              <w:t>（六）</w:t>
            </w:r>
          </w:p>
          <w:p>
            <w:pPr>
              <w:pStyle w:val="12"/>
              <w:adjustRightInd w:val="0"/>
              <w:snapToGrid w:val="0"/>
              <w:spacing w:beforeAutospacing="0" w:afterAutospacing="0" w:line="340" w:lineRule="exact"/>
              <w:jc w:val="center"/>
              <w:rPr>
                <w:rFonts w:ascii="Times New Roman" w:eastAsia="仿宋_GB2312" w:cs="Times New Roman"/>
              </w:rPr>
            </w:pPr>
            <w:r>
              <w:rPr>
                <w:rFonts w:ascii="Times New Roman" w:eastAsia="仿宋_GB2312" w:cs="Times New Roman"/>
              </w:rPr>
              <w:t>其他处理</w:t>
            </w:r>
          </w:p>
        </w:tc>
        <w:tc>
          <w:tcPr>
            <w:tcW w:w="1260" w:type="pct"/>
            <w:noWrap w:val="0"/>
            <w:vAlign w:val="center"/>
          </w:tcPr>
          <w:p>
            <w:pPr>
              <w:pStyle w:val="12"/>
              <w:adjustRightInd w:val="0"/>
              <w:snapToGrid w:val="0"/>
              <w:spacing w:beforeAutospacing="0" w:afterAutospacing="0" w:line="340" w:lineRule="exact"/>
              <w:jc w:val="both"/>
              <w:rPr>
                <w:rFonts w:ascii="Times New Roman" w:eastAsia="仿宋_GB2312" w:cs="Times New Roman"/>
              </w:rPr>
            </w:pPr>
            <w:r>
              <w:rPr>
                <w:rFonts w:ascii="Times New Roman" w:eastAsia="仿宋_GB2312" w:cs="Times New Roman"/>
              </w:rPr>
              <w:t>1.申请人无正当理由逾期不补正、行政机关不再处理其政府信息公开申请</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6</w:t>
            </w:r>
          </w:p>
        </w:tc>
        <w:tc>
          <w:tcPr>
            <w:tcW w:w="365"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1</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5"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7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621"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1260" w:type="pct"/>
            <w:noWrap w:val="0"/>
            <w:vAlign w:val="center"/>
          </w:tcPr>
          <w:p>
            <w:pPr>
              <w:pStyle w:val="12"/>
              <w:adjustRightInd w:val="0"/>
              <w:snapToGrid w:val="0"/>
              <w:spacing w:beforeAutospacing="0" w:afterAutospacing="0" w:line="340" w:lineRule="exact"/>
              <w:jc w:val="both"/>
              <w:rPr>
                <w:rFonts w:ascii="Times New Roman" w:eastAsia="仿宋_GB2312" w:cs="Times New Roman"/>
              </w:rPr>
            </w:pPr>
            <w:r>
              <w:rPr>
                <w:rFonts w:ascii="Times New Roman" w:eastAsia="仿宋_GB2312" w:cs="Times New Roman"/>
              </w:rPr>
              <w:t>2.申请人逾期未按收费通知要求缴纳费用</w:t>
            </w:r>
            <w:r>
              <w:rPr>
                <w:rFonts w:ascii="Times New Roman" w:eastAsia="仿宋_GB2312" w:cs="Times New Roman"/>
                <w:spacing w:val="-12"/>
              </w:rPr>
              <w:t>、行政机关不再处理其政府信息公开申请</w:t>
            </w:r>
          </w:p>
        </w:tc>
        <w:tc>
          <w:tcPr>
            <w:tcW w:w="881" w:type="dxa"/>
            <w:noWrap w:val="0"/>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662" w:type="dxa"/>
            <w:noWrap w:val="0"/>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99" w:type="dxa"/>
            <w:noWrap w:val="0"/>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5" w:type="dxa"/>
            <w:noWrap w:val="0"/>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671" w:type="dxa"/>
            <w:noWrap w:val="0"/>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621"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1260" w:type="pct"/>
            <w:noWrap w:val="0"/>
            <w:vAlign w:val="center"/>
          </w:tcPr>
          <w:p>
            <w:pPr>
              <w:pStyle w:val="12"/>
              <w:adjustRightInd w:val="0"/>
              <w:snapToGrid w:val="0"/>
              <w:spacing w:beforeAutospacing="0" w:afterAutospacing="0" w:line="340" w:lineRule="exact"/>
              <w:jc w:val="both"/>
              <w:rPr>
                <w:rFonts w:ascii="Times New Roman" w:eastAsia="仿宋_GB2312" w:cs="Times New Roman"/>
              </w:rPr>
            </w:pPr>
            <w:r>
              <w:rPr>
                <w:rFonts w:ascii="Times New Roman" w:eastAsia="仿宋_GB2312" w:cs="Times New Roman"/>
              </w:rPr>
              <w:t>3.其他</w:t>
            </w:r>
          </w:p>
        </w:tc>
        <w:tc>
          <w:tcPr>
            <w:tcW w:w="486" w:type="pct"/>
            <w:noWrap w:val="0"/>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44</w:t>
            </w:r>
          </w:p>
        </w:tc>
        <w:tc>
          <w:tcPr>
            <w:tcW w:w="662" w:type="dxa"/>
            <w:noWrap w:val="0"/>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99" w:type="dxa"/>
            <w:noWrap w:val="0"/>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17" w:type="pct"/>
            <w:noWrap w:val="0"/>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1</w:t>
            </w:r>
          </w:p>
        </w:tc>
        <w:tc>
          <w:tcPr>
            <w:tcW w:w="370" w:type="pct"/>
            <w:noWrap w:val="0"/>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424" w:type="pct"/>
            <w:vMerge w:val="continue"/>
            <w:noWrap w:val="0"/>
            <w:tcMar>
              <w:top w:w="0" w:type="dxa"/>
              <w:left w:w="0" w:type="dxa"/>
              <w:bottom w:w="0" w:type="dxa"/>
              <w:right w:w="0" w:type="dxa"/>
            </w:tcMar>
            <w:vAlign w:val="center"/>
          </w:tcPr>
          <w:p>
            <w:pPr>
              <w:spacing w:line="340" w:lineRule="exact"/>
              <w:jc w:val="center"/>
              <w:rPr>
                <w:rFonts w:ascii="Times New Roman" w:eastAsia="仿宋_GB2312"/>
                <w:sz w:val="24"/>
                <w:szCs w:val="24"/>
              </w:rPr>
            </w:pPr>
          </w:p>
        </w:tc>
        <w:tc>
          <w:tcPr>
            <w:tcW w:w="1881" w:type="pct"/>
            <w:gridSpan w:val="2"/>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ascii="Times New Roman" w:eastAsia="仿宋_GB2312" w:cs="Times New Roman"/>
              </w:rPr>
              <w:t>（七）总计</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1301</w:t>
            </w:r>
          </w:p>
        </w:tc>
        <w:tc>
          <w:tcPr>
            <w:tcW w:w="365"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28</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18"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8</w:t>
            </w:r>
          </w:p>
        </w:tc>
        <w:tc>
          <w:tcPr>
            <w:tcW w:w="317"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4</w:t>
            </w:r>
          </w:p>
        </w:tc>
        <w:tc>
          <w:tcPr>
            <w:tcW w:w="37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1341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8" w:type="dxa"/>
            <w:bottom w:w="15" w:type="dxa"/>
            <w:right w:w="28" w:type="dxa"/>
          </w:tblCellMar>
        </w:tblPrEx>
        <w:trPr>
          <w:trHeight w:val="567" w:hRule="atLeast"/>
          <w:jc w:val="center"/>
        </w:trPr>
        <w:tc>
          <w:tcPr>
            <w:tcW w:w="2305" w:type="pct"/>
            <w:gridSpan w:val="3"/>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ascii="Times New Roman" w:eastAsia="仿宋_GB2312" w:cs="Times New Roman"/>
              </w:rPr>
              <w:t>四、结转下年度继续办理</w:t>
            </w:r>
          </w:p>
        </w:tc>
        <w:tc>
          <w:tcPr>
            <w:tcW w:w="486"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24</w:t>
            </w:r>
          </w:p>
        </w:tc>
        <w:tc>
          <w:tcPr>
            <w:tcW w:w="662"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99"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720"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576" w:type="dxa"/>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ascii="Times New Roman" w:eastAsia="仿宋_GB2312" w:cs="Times New Roman"/>
              </w:rPr>
            </w:pPr>
            <w:r>
              <w:rPr>
                <w:rFonts w:hint="eastAsia" w:ascii="Times New Roman" w:eastAsia="仿宋_GB2312" w:cs="Times New Roman"/>
                <w:lang w:val="en-US" w:eastAsia="zh-CN"/>
              </w:rPr>
              <w:t>0</w:t>
            </w:r>
          </w:p>
        </w:tc>
        <w:tc>
          <w:tcPr>
            <w:tcW w:w="317"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1</w:t>
            </w:r>
          </w:p>
        </w:tc>
        <w:tc>
          <w:tcPr>
            <w:tcW w:w="370" w:type="pct"/>
            <w:noWrap w:val="0"/>
            <w:tcMar>
              <w:top w:w="0" w:type="dxa"/>
              <w:left w:w="0" w:type="dxa"/>
              <w:bottom w:w="0" w:type="dxa"/>
              <w:right w:w="0" w:type="dxa"/>
            </w:tcMar>
            <w:vAlign w:val="center"/>
          </w:tcPr>
          <w:p>
            <w:pPr>
              <w:pStyle w:val="12"/>
              <w:adjustRightInd w:val="0"/>
              <w:snapToGrid w:val="0"/>
              <w:spacing w:beforeAutospacing="0" w:afterAutospacing="0" w:line="34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25</w:t>
            </w:r>
          </w:p>
        </w:tc>
      </w:tr>
    </w:tbl>
    <w:p>
      <w:pPr>
        <w:pStyle w:val="25"/>
        <w:adjustRightInd w:val="0"/>
        <w:snapToGrid w:val="0"/>
        <w:spacing w:before="0" w:after="0" w:line="578" w:lineRule="exact"/>
        <w:ind w:firstLine="640" w:firstLineChars="200"/>
        <w:rPr>
          <w:rFonts w:ascii="Times New Roman" w:hAnsi="Times New Roman" w:eastAsia="黑体" w:cs="Times New Roman"/>
          <w:b w:val="0"/>
          <w:sz w:val="32"/>
          <w:szCs w:val="32"/>
        </w:rPr>
      </w:pPr>
      <w:r>
        <w:rPr>
          <w:rFonts w:ascii="Times New Roman" w:hAnsi="Times New Roman" w:eastAsia="黑体" w:cs="Times New Roman"/>
          <w:b w:val="0"/>
          <w:sz w:val="32"/>
          <w:szCs w:val="32"/>
        </w:rPr>
        <w:t>四、政府信息公开行政复议、行政诉讼情况</w:t>
      </w:r>
    </w:p>
    <w:tbl>
      <w:tblPr>
        <w:tblStyle w:val="14"/>
        <w:tblW w:w="5122" w:type="pct"/>
        <w:jc w:val="center"/>
        <w:tblLayout w:type="autofit"/>
        <w:tblCellMar>
          <w:top w:w="15" w:type="dxa"/>
          <w:left w:w="28" w:type="dxa"/>
          <w:bottom w:w="15" w:type="dxa"/>
          <w:right w:w="28" w:type="dxa"/>
        </w:tblCellMar>
      </w:tblPr>
      <w:tblGrid>
        <w:gridCol w:w="662"/>
        <w:gridCol w:w="652"/>
        <w:gridCol w:w="594"/>
        <w:gridCol w:w="701"/>
        <w:gridCol w:w="619"/>
        <w:gridCol w:w="588"/>
        <w:gridCol w:w="588"/>
        <w:gridCol w:w="588"/>
        <w:gridCol w:w="588"/>
        <w:gridCol w:w="506"/>
        <w:gridCol w:w="623"/>
        <w:gridCol w:w="623"/>
        <w:gridCol w:w="574"/>
        <w:gridCol w:w="635"/>
        <w:gridCol w:w="536"/>
      </w:tblGrid>
      <w:tr>
        <w:tblPrEx>
          <w:tblCellMar>
            <w:top w:w="15" w:type="dxa"/>
            <w:left w:w="28" w:type="dxa"/>
            <w:bottom w:w="15" w:type="dxa"/>
            <w:right w:w="28" w:type="dxa"/>
          </w:tblCellMar>
        </w:tblPrEx>
        <w:trPr>
          <w:trHeight w:val="567" w:hRule="atLeast"/>
          <w:jc w:val="center"/>
        </w:trPr>
        <w:tc>
          <w:tcPr>
            <w:tcW w:w="1778" w:type="pct"/>
            <w:gridSpan w:val="5"/>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ascii="Times New Roman" w:eastAsia="黑体" w:cs="Times New Roman"/>
              </w:rPr>
            </w:pPr>
            <w:r>
              <w:rPr>
                <w:rFonts w:ascii="Times New Roman" w:eastAsia="黑体" w:cs="Times New Roman"/>
              </w:rPr>
              <w:t>行政复议</w:t>
            </w:r>
          </w:p>
        </w:tc>
        <w:tc>
          <w:tcPr>
            <w:tcW w:w="3222" w:type="pct"/>
            <w:gridSpan w:val="10"/>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ascii="Times New Roman" w:eastAsia="黑体" w:cs="Times New Roman"/>
              </w:rPr>
            </w:pPr>
            <w:r>
              <w:rPr>
                <w:rFonts w:ascii="Times New Roman" w:eastAsia="黑体" w:cs="Times New Roman"/>
              </w:rPr>
              <w:t>行政诉讼</w:t>
            </w:r>
          </w:p>
        </w:tc>
      </w:tr>
      <w:tr>
        <w:tblPrEx>
          <w:tblCellMar>
            <w:top w:w="15" w:type="dxa"/>
            <w:left w:w="28" w:type="dxa"/>
            <w:bottom w:w="15" w:type="dxa"/>
            <w:right w:w="28" w:type="dxa"/>
          </w:tblCellMar>
        </w:tblPrEx>
        <w:trPr>
          <w:trHeight w:val="567" w:hRule="atLeast"/>
          <w:jc w:val="center"/>
        </w:trPr>
        <w:tc>
          <w:tcPr>
            <w:tcW w:w="365" w:type="pct"/>
            <w:vMerge w:val="restart"/>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ascii="Times New Roman" w:eastAsia="仿宋_GB2312" w:cs="Times New Roman"/>
              </w:rPr>
            </w:pPr>
            <w:r>
              <w:rPr>
                <w:rFonts w:ascii="Times New Roman" w:eastAsia="仿宋_GB2312" w:cs="Times New Roman"/>
              </w:rPr>
              <w:t>结果</w:t>
            </w:r>
          </w:p>
          <w:p>
            <w:pPr>
              <w:pStyle w:val="12"/>
              <w:spacing w:beforeAutospacing="0" w:afterAutospacing="0" w:line="360" w:lineRule="exact"/>
              <w:jc w:val="center"/>
              <w:rPr>
                <w:rFonts w:ascii="Times New Roman" w:eastAsia="仿宋_GB2312" w:cs="Times New Roman"/>
              </w:rPr>
            </w:pPr>
            <w:r>
              <w:rPr>
                <w:rFonts w:ascii="Times New Roman" w:eastAsia="仿宋_GB2312" w:cs="Times New Roman"/>
              </w:rPr>
              <w:t>维持</w:t>
            </w:r>
          </w:p>
        </w:tc>
        <w:tc>
          <w:tcPr>
            <w:tcW w:w="359" w:type="pct"/>
            <w:vMerge w:val="restart"/>
            <w:tcBorders>
              <w:top w:val="nil"/>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ascii="Times New Roman" w:eastAsia="仿宋_GB2312" w:cs="Times New Roman"/>
              </w:rPr>
            </w:pPr>
            <w:r>
              <w:rPr>
                <w:rFonts w:ascii="Times New Roman" w:eastAsia="仿宋_GB2312" w:cs="Times New Roman"/>
              </w:rPr>
              <w:t>结果纠正</w:t>
            </w:r>
          </w:p>
        </w:tc>
        <w:tc>
          <w:tcPr>
            <w:tcW w:w="327" w:type="pct"/>
            <w:vMerge w:val="restart"/>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ascii="Times New Roman" w:eastAsia="仿宋_GB2312" w:cs="Times New Roman"/>
              </w:rPr>
            </w:pPr>
            <w:r>
              <w:rPr>
                <w:rFonts w:ascii="Times New Roman" w:eastAsia="仿宋_GB2312" w:cs="Times New Roman"/>
              </w:rPr>
              <w:t>其他结果</w:t>
            </w:r>
          </w:p>
        </w:tc>
        <w:tc>
          <w:tcPr>
            <w:tcW w:w="386" w:type="pct"/>
            <w:vMerge w:val="restart"/>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ascii="Times New Roman" w:eastAsia="仿宋_GB2312" w:cs="Times New Roman"/>
              </w:rPr>
            </w:pPr>
            <w:r>
              <w:rPr>
                <w:rFonts w:ascii="Times New Roman" w:eastAsia="仿宋_GB2312" w:cs="Times New Roman"/>
              </w:rPr>
              <w:t>尚未审结</w:t>
            </w:r>
          </w:p>
        </w:tc>
        <w:tc>
          <w:tcPr>
            <w:tcW w:w="341" w:type="pct"/>
            <w:vMerge w:val="restart"/>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ascii="Times New Roman" w:eastAsia="仿宋_GB2312" w:cs="Times New Roman"/>
              </w:rPr>
            </w:pPr>
            <w:r>
              <w:rPr>
                <w:rFonts w:ascii="Times New Roman" w:eastAsia="仿宋_GB2312" w:cs="Times New Roman"/>
              </w:rPr>
              <w:t>总计</w:t>
            </w:r>
          </w:p>
        </w:tc>
        <w:tc>
          <w:tcPr>
            <w:tcW w:w="1574" w:type="pct"/>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ascii="Times New Roman" w:eastAsia="仿宋_GB2312" w:cs="Times New Roman"/>
              </w:rPr>
            </w:pPr>
            <w:r>
              <w:rPr>
                <w:rFonts w:ascii="Times New Roman" w:eastAsia="仿宋_GB2312" w:cs="Times New Roman"/>
              </w:rPr>
              <w:t>未经复议直接起诉</w:t>
            </w:r>
          </w:p>
        </w:tc>
        <w:tc>
          <w:tcPr>
            <w:tcW w:w="1648" w:type="pct"/>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ascii="Times New Roman" w:eastAsia="仿宋_GB2312" w:cs="Times New Roman"/>
              </w:rPr>
            </w:pPr>
            <w:r>
              <w:rPr>
                <w:rFonts w:ascii="Times New Roman" w:eastAsia="仿宋_GB2312" w:cs="Times New Roman"/>
              </w:rPr>
              <w:t>复议后起诉</w:t>
            </w:r>
          </w:p>
        </w:tc>
      </w:tr>
      <w:tr>
        <w:tblPrEx>
          <w:tblCellMar>
            <w:top w:w="15" w:type="dxa"/>
            <w:left w:w="28" w:type="dxa"/>
            <w:bottom w:w="15" w:type="dxa"/>
            <w:right w:w="28" w:type="dxa"/>
          </w:tblCellMar>
        </w:tblPrEx>
        <w:trPr>
          <w:trHeight w:val="567" w:hRule="atLeast"/>
          <w:jc w:val="center"/>
        </w:trPr>
        <w:tc>
          <w:tcPr>
            <w:tcW w:w="365" w:type="pct"/>
            <w:vMerge w:val="continue"/>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rPr>
                <w:rFonts w:ascii="Times New Roman" w:eastAsia="仿宋_GB2312"/>
              </w:rPr>
            </w:pPr>
          </w:p>
        </w:tc>
        <w:tc>
          <w:tcPr>
            <w:tcW w:w="359" w:type="pct"/>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pPr>
              <w:rPr>
                <w:rFonts w:ascii="Times New Roman" w:eastAsia="仿宋_GB2312"/>
              </w:rPr>
            </w:pPr>
          </w:p>
        </w:tc>
        <w:tc>
          <w:tcPr>
            <w:tcW w:w="327" w:type="pct"/>
            <w:vMerge w:val="continue"/>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rPr>
                <w:rFonts w:ascii="Times New Roman" w:eastAsia="仿宋_GB2312"/>
              </w:rPr>
            </w:pPr>
          </w:p>
        </w:tc>
        <w:tc>
          <w:tcPr>
            <w:tcW w:w="386" w:type="pct"/>
            <w:vMerge w:val="continue"/>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rPr>
                <w:rFonts w:ascii="Times New Roman" w:eastAsia="仿宋_GB2312"/>
              </w:rPr>
            </w:pPr>
          </w:p>
        </w:tc>
        <w:tc>
          <w:tcPr>
            <w:tcW w:w="341" w:type="pct"/>
            <w:vMerge w:val="continue"/>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rPr>
                <w:rFonts w:ascii="Times New Roman" w:eastAsia="仿宋_GB2312"/>
              </w:rPr>
            </w:pPr>
          </w:p>
        </w:tc>
        <w:tc>
          <w:tcPr>
            <w:tcW w:w="324" w:type="pct"/>
            <w:tcBorders>
              <w:top w:val="nil"/>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ascii="Times New Roman" w:eastAsia="仿宋_GB2312" w:cs="Times New Roman"/>
              </w:rPr>
            </w:pPr>
            <w:r>
              <w:rPr>
                <w:rFonts w:ascii="Times New Roman" w:eastAsia="仿宋_GB2312" w:cs="Times New Roman"/>
              </w:rPr>
              <w:t>结果维持</w:t>
            </w:r>
          </w:p>
        </w:tc>
        <w:tc>
          <w:tcPr>
            <w:tcW w:w="324" w:type="pct"/>
            <w:tcBorders>
              <w:top w:val="nil"/>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ascii="Times New Roman" w:eastAsia="仿宋_GB2312" w:cs="Times New Roman"/>
              </w:rPr>
            </w:pPr>
            <w:r>
              <w:rPr>
                <w:rFonts w:ascii="Times New Roman" w:eastAsia="仿宋_GB2312" w:cs="Times New Roman"/>
              </w:rPr>
              <w:t>结果纠正</w:t>
            </w:r>
          </w:p>
        </w:tc>
        <w:tc>
          <w:tcPr>
            <w:tcW w:w="324" w:type="pct"/>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ascii="Times New Roman" w:eastAsia="仿宋_GB2312" w:cs="Times New Roman"/>
              </w:rPr>
            </w:pPr>
            <w:r>
              <w:rPr>
                <w:rFonts w:ascii="Times New Roman" w:eastAsia="仿宋_GB2312" w:cs="Times New Roman"/>
              </w:rPr>
              <w:t>其他结果</w:t>
            </w:r>
          </w:p>
        </w:tc>
        <w:tc>
          <w:tcPr>
            <w:tcW w:w="324" w:type="pct"/>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ascii="Times New Roman" w:eastAsia="仿宋_GB2312" w:cs="Times New Roman"/>
              </w:rPr>
            </w:pPr>
            <w:r>
              <w:rPr>
                <w:rFonts w:ascii="Times New Roman" w:eastAsia="仿宋_GB2312" w:cs="Times New Roman"/>
              </w:rPr>
              <w:t>尚未审结</w:t>
            </w:r>
          </w:p>
        </w:tc>
        <w:tc>
          <w:tcPr>
            <w:tcW w:w="279" w:type="pct"/>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ascii="Times New Roman" w:eastAsia="仿宋_GB2312" w:cs="Times New Roman"/>
              </w:rPr>
            </w:pPr>
            <w:r>
              <w:rPr>
                <w:rFonts w:ascii="Times New Roman" w:eastAsia="仿宋_GB2312" w:cs="Times New Roman"/>
              </w:rPr>
              <w:t>总计</w:t>
            </w:r>
          </w:p>
        </w:tc>
        <w:tc>
          <w:tcPr>
            <w:tcW w:w="343" w:type="pct"/>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ascii="Times New Roman" w:eastAsia="仿宋_GB2312" w:cs="Times New Roman"/>
              </w:rPr>
            </w:pPr>
            <w:r>
              <w:rPr>
                <w:rFonts w:ascii="Times New Roman" w:eastAsia="仿宋_GB2312" w:cs="Times New Roman"/>
              </w:rPr>
              <w:t>结果维持</w:t>
            </w:r>
          </w:p>
        </w:tc>
        <w:tc>
          <w:tcPr>
            <w:tcW w:w="343" w:type="pct"/>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ascii="Times New Roman" w:eastAsia="仿宋_GB2312" w:cs="Times New Roman"/>
              </w:rPr>
            </w:pPr>
            <w:r>
              <w:rPr>
                <w:rFonts w:ascii="Times New Roman" w:eastAsia="仿宋_GB2312" w:cs="Times New Roman"/>
              </w:rPr>
              <w:t>结果纠正</w:t>
            </w:r>
          </w:p>
        </w:tc>
        <w:tc>
          <w:tcPr>
            <w:tcW w:w="316" w:type="pct"/>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ascii="Times New Roman" w:eastAsia="仿宋_GB2312" w:cs="Times New Roman"/>
              </w:rPr>
            </w:pPr>
            <w:r>
              <w:rPr>
                <w:rFonts w:ascii="Times New Roman" w:eastAsia="仿宋_GB2312" w:cs="Times New Roman"/>
              </w:rPr>
              <w:t>其他结果</w:t>
            </w:r>
          </w:p>
        </w:tc>
        <w:tc>
          <w:tcPr>
            <w:tcW w:w="350" w:type="pct"/>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ascii="Times New Roman" w:eastAsia="仿宋_GB2312" w:cs="Times New Roman"/>
              </w:rPr>
            </w:pPr>
            <w:r>
              <w:rPr>
                <w:rFonts w:ascii="Times New Roman" w:eastAsia="仿宋_GB2312" w:cs="Times New Roman"/>
              </w:rPr>
              <w:t>尚未审结</w:t>
            </w:r>
          </w:p>
        </w:tc>
        <w:tc>
          <w:tcPr>
            <w:tcW w:w="295" w:type="pct"/>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ascii="Times New Roman" w:eastAsia="仿宋_GB2312" w:cs="Times New Roman"/>
              </w:rPr>
            </w:pPr>
            <w:r>
              <w:rPr>
                <w:rFonts w:ascii="Times New Roman" w:eastAsia="仿宋_GB2312" w:cs="Times New Roman"/>
              </w:rPr>
              <w:t>总计</w:t>
            </w:r>
          </w:p>
        </w:tc>
      </w:tr>
      <w:tr>
        <w:tblPrEx>
          <w:tblCellMar>
            <w:top w:w="15" w:type="dxa"/>
            <w:left w:w="28" w:type="dxa"/>
            <w:bottom w:w="15" w:type="dxa"/>
            <w:right w:w="28" w:type="dxa"/>
          </w:tblCellMar>
        </w:tblPrEx>
        <w:trPr>
          <w:trHeight w:val="567" w:hRule="atLeast"/>
          <w:jc w:val="center"/>
        </w:trPr>
        <w:tc>
          <w:tcPr>
            <w:tcW w:w="365" w:type="pct"/>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21</w:t>
            </w:r>
          </w:p>
        </w:tc>
        <w:tc>
          <w:tcPr>
            <w:tcW w:w="359" w:type="pct"/>
            <w:tcBorders>
              <w:top w:val="nil"/>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43</w:t>
            </w:r>
          </w:p>
        </w:tc>
        <w:tc>
          <w:tcPr>
            <w:tcW w:w="327" w:type="pct"/>
            <w:tcBorders>
              <w:top w:val="nil"/>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34</w:t>
            </w:r>
          </w:p>
        </w:tc>
        <w:tc>
          <w:tcPr>
            <w:tcW w:w="386" w:type="pct"/>
            <w:tcBorders>
              <w:top w:val="nil"/>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18</w:t>
            </w:r>
          </w:p>
        </w:tc>
        <w:tc>
          <w:tcPr>
            <w:tcW w:w="341" w:type="pct"/>
            <w:tcBorders>
              <w:top w:val="nil"/>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116</w:t>
            </w:r>
          </w:p>
        </w:tc>
        <w:tc>
          <w:tcPr>
            <w:tcW w:w="324" w:type="pct"/>
            <w:tcBorders>
              <w:top w:val="nil"/>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1</w:t>
            </w:r>
          </w:p>
        </w:tc>
        <w:tc>
          <w:tcPr>
            <w:tcW w:w="324" w:type="pct"/>
            <w:tcBorders>
              <w:top w:val="nil"/>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0</w:t>
            </w:r>
          </w:p>
        </w:tc>
        <w:tc>
          <w:tcPr>
            <w:tcW w:w="324" w:type="pct"/>
            <w:tcBorders>
              <w:top w:val="nil"/>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5</w:t>
            </w:r>
          </w:p>
        </w:tc>
        <w:tc>
          <w:tcPr>
            <w:tcW w:w="324" w:type="pct"/>
            <w:tcBorders>
              <w:top w:val="nil"/>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0</w:t>
            </w:r>
          </w:p>
        </w:tc>
        <w:tc>
          <w:tcPr>
            <w:tcW w:w="279" w:type="pct"/>
            <w:tcBorders>
              <w:top w:val="nil"/>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6</w:t>
            </w:r>
          </w:p>
        </w:tc>
        <w:tc>
          <w:tcPr>
            <w:tcW w:w="343" w:type="pct"/>
            <w:tcBorders>
              <w:top w:val="nil"/>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2</w:t>
            </w:r>
          </w:p>
        </w:tc>
        <w:tc>
          <w:tcPr>
            <w:tcW w:w="343" w:type="pct"/>
            <w:tcBorders>
              <w:top w:val="nil"/>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1</w:t>
            </w:r>
          </w:p>
        </w:tc>
        <w:tc>
          <w:tcPr>
            <w:tcW w:w="316" w:type="pct"/>
            <w:tcBorders>
              <w:top w:val="nil"/>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hint="default" w:ascii="Times New Roman" w:eastAsia="仿宋_GB2312" w:cs="Times New Roman"/>
                <w:lang w:val="en-US" w:eastAsia="zh-CN"/>
              </w:rPr>
            </w:pPr>
            <w:r>
              <w:rPr>
                <w:rFonts w:hint="eastAsia" w:ascii="Times New Roman" w:eastAsia="仿宋_GB2312" w:cs="Times New Roman"/>
                <w:lang w:val="en-US" w:eastAsia="zh-CN"/>
              </w:rPr>
              <w:t>3</w:t>
            </w:r>
          </w:p>
        </w:tc>
        <w:tc>
          <w:tcPr>
            <w:tcW w:w="350" w:type="pct"/>
            <w:tcBorders>
              <w:top w:val="nil"/>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0</w:t>
            </w:r>
          </w:p>
        </w:tc>
        <w:tc>
          <w:tcPr>
            <w:tcW w:w="295" w:type="pct"/>
            <w:tcBorders>
              <w:top w:val="nil"/>
              <w:left w:val="nil"/>
              <w:bottom w:val="single" w:color="000000" w:sz="6" w:space="0"/>
              <w:right w:val="single" w:color="000000" w:sz="6" w:space="0"/>
            </w:tcBorders>
            <w:noWrap w:val="0"/>
            <w:tcMar>
              <w:top w:w="0" w:type="dxa"/>
              <w:left w:w="0" w:type="dxa"/>
              <w:bottom w:w="0" w:type="dxa"/>
              <w:right w:w="0" w:type="dxa"/>
            </w:tcMar>
            <w:vAlign w:val="center"/>
          </w:tcPr>
          <w:p>
            <w:pPr>
              <w:pStyle w:val="12"/>
              <w:spacing w:beforeAutospacing="0" w:afterAutospacing="0" w:line="360" w:lineRule="exact"/>
              <w:jc w:val="center"/>
              <w:rPr>
                <w:rFonts w:hint="eastAsia" w:ascii="Times New Roman" w:eastAsia="仿宋_GB2312" w:cs="Times New Roman"/>
                <w:lang w:val="en-US" w:eastAsia="zh-CN"/>
              </w:rPr>
            </w:pPr>
            <w:r>
              <w:rPr>
                <w:rFonts w:hint="eastAsia" w:ascii="Times New Roman" w:eastAsia="仿宋_GB2312" w:cs="Times New Roman"/>
                <w:lang w:val="en-US" w:eastAsia="zh-CN"/>
              </w:rPr>
              <w:t>6</w:t>
            </w:r>
          </w:p>
        </w:tc>
      </w:tr>
    </w:tbl>
    <w:p>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center"/>
        <w:rPr>
          <w:rFonts w:hint="eastAsia" w:ascii="Times New Roman" w:hAnsi="Times New Roman" w:eastAsia="黑体" w:cs="Times New Roman"/>
          <w:color w:val="000000"/>
          <w:sz w:val="32"/>
          <w:szCs w:val="32"/>
          <w:lang w:eastAsia="zh-CN"/>
        </w:rPr>
      </w:pPr>
      <w:r>
        <w:rPr>
          <w:rFonts w:hint="eastAsia" w:ascii="Times New Roman" w:hAnsi="Times New Roman" w:eastAsia="黑体" w:cs="Times New Roman"/>
          <w:color w:val="000000"/>
          <w:sz w:val="32"/>
          <w:szCs w:val="32"/>
          <w:lang w:eastAsia="zh-CN"/>
        </w:rPr>
        <w:t>五、</w:t>
      </w:r>
      <w:r>
        <w:rPr>
          <w:rFonts w:hint="default" w:ascii="Times New Roman" w:hAnsi="Times New Roman" w:eastAsia="黑体" w:cs="Times New Roman"/>
          <w:color w:val="000000"/>
          <w:sz w:val="32"/>
          <w:szCs w:val="32"/>
        </w:rPr>
        <w:t>存在的主要问题及改进</w:t>
      </w:r>
      <w:r>
        <w:rPr>
          <w:rFonts w:hint="eastAsia" w:ascii="Times New Roman" w:hAnsi="Times New Roman" w:eastAsia="黑体" w:cs="Times New Roman"/>
          <w:color w:val="000000"/>
          <w:sz w:val="32"/>
          <w:szCs w:val="32"/>
          <w:lang w:eastAsia="zh-CN"/>
        </w:rPr>
        <w:t>情况</w:t>
      </w:r>
    </w:p>
    <w:p>
      <w:pPr>
        <w:pStyle w:val="13"/>
        <w:keepNext w:val="0"/>
        <w:keepLines w:val="0"/>
        <w:pageBreakBefore w:val="0"/>
        <w:widowControl w:val="0"/>
        <w:kinsoku/>
        <w:wordWrap/>
        <w:overflowPunct/>
        <w:topLinePunct w:val="0"/>
        <w:autoSpaceDE/>
        <w:autoSpaceDN/>
        <w:bidi w:val="0"/>
        <w:adjustRightInd w:val="0"/>
        <w:snapToGrid w:val="0"/>
        <w:spacing w:line="578" w:lineRule="exact"/>
        <w:ind w:firstLine="640"/>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主要问题：</w:t>
      </w:r>
      <w:r>
        <w:rPr>
          <w:rFonts w:hint="default" w:ascii="Times New Roman" w:hAnsi="Times New Roman" w:eastAsia="仿宋_GB2312" w:cs="Times New Roman"/>
          <w:b w:val="0"/>
          <w:bCs w:val="0"/>
          <w:color w:val="000000"/>
          <w:sz w:val="32"/>
          <w:szCs w:val="32"/>
          <w:lang w:val="en-US" w:eastAsia="zh-CN"/>
        </w:rPr>
        <w:t>一是信息发布内容与主动公开事项目录不</w:t>
      </w:r>
      <w:r>
        <w:rPr>
          <w:rFonts w:hint="eastAsia" w:ascii="Times New Roman" w:hAnsi="Times New Roman" w:eastAsia="仿宋_GB2312" w:cs="Times New Roman"/>
          <w:b w:val="0"/>
          <w:bCs w:val="0"/>
          <w:color w:val="000000"/>
          <w:sz w:val="32"/>
          <w:szCs w:val="32"/>
          <w:lang w:val="en-US" w:eastAsia="zh-CN"/>
        </w:rPr>
        <w:t>匹配</w:t>
      </w:r>
      <w:r>
        <w:rPr>
          <w:rFonts w:hint="default" w:ascii="Times New Roman" w:hAnsi="Times New Roman" w:eastAsia="仿宋_GB2312" w:cs="Times New Roman"/>
          <w:b w:val="0"/>
          <w:bCs w:val="0"/>
          <w:color w:val="000000"/>
          <w:sz w:val="32"/>
          <w:szCs w:val="32"/>
          <w:lang w:val="en-US" w:eastAsia="zh-CN"/>
        </w:rPr>
        <w:t>，信息公开质效需进一步提升。</w:t>
      </w:r>
      <w:r>
        <w:rPr>
          <w:rFonts w:hint="eastAsia" w:ascii="Times New Roman" w:hAnsi="Times New Roman" w:eastAsia="仿宋_GB2312" w:cs="Times New Roman"/>
          <w:b w:val="0"/>
          <w:bCs w:val="0"/>
          <w:color w:val="000000"/>
          <w:sz w:val="32"/>
          <w:szCs w:val="32"/>
          <w:lang w:val="en-US" w:eastAsia="zh-CN"/>
        </w:rPr>
        <w:t>二是</w:t>
      </w:r>
      <w:r>
        <w:rPr>
          <w:rFonts w:hint="default" w:ascii="Times New Roman" w:hAnsi="Times New Roman" w:eastAsia="仿宋_GB2312" w:cs="Times New Roman"/>
          <w:b w:val="0"/>
          <w:bCs w:val="0"/>
          <w:color w:val="000000"/>
          <w:sz w:val="32"/>
          <w:szCs w:val="32"/>
          <w:lang w:val="en-US" w:eastAsia="zh-CN"/>
        </w:rPr>
        <w:t>政府系统政务新媒体数量多，原创信息匮乏，互动功能较弱，运维不力，监管难度较大。</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下一步改进措施：</w:t>
      </w:r>
      <w:r>
        <w:rPr>
          <w:rFonts w:hint="default" w:ascii="Times New Roman" w:hAnsi="Times New Roman" w:eastAsia="仿宋_GB2312" w:cs="Times New Roman"/>
          <w:b w:val="0"/>
          <w:bCs w:val="0"/>
          <w:color w:val="000000"/>
          <w:sz w:val="32"/>
          <w:szCs w:val="32"/>
          <w:lang w:val="en-US" w:eastAsia="zh-CN"/>
        </w:rPr>
        <w:t>一是指导各级行政机关动态更新并用好主动公开事项目录，对照目录公开相关信息，不断提升信息公开质效。</w:t>
      </w:r>
      <w:r>
        <w:rPr>
          <w:rFonts w:hint="eastAsia" w:ascii="Times New Roman" w:hAnsi="Times New Roman" w:eastAsia="仿宋_GB2312" w:cs="Times New Roman"/>
          <w:b w:val="0"/>
          <w:bCs w:val="0"/>
          <w:color w:val="000000"/>
          <w:sz w:val="32"/>
          <w:szCs w:val="32"/>
          <w:lang w:val="en-US" w:eastAsia="zh-CN"/>
        </w:rPr>
        <w:t>二是</w:t>
      </w:r>
      <w:r>
        <w:rPr>
          <w:rFonts w:hint="default" w:ascii="Times New Roman" w:hAnsi="Times New Roman" w:eastAsia="仿宋_GB2312" w:cs="Times New Roman"/>
          <w:b w:val="0"/>
          <w:bCs w:val="0"/>
          <w:color w:val="000000"/>
          <w:sz w:val="32"/>
          <w:szCs w:val="32"/>
          <w:lang w:val="en-US" w:eastAsia="zh-CN"/>
        </w:rPr>
        <w:t>加大政府系统政务新媒体管理力度。2026年，将根据</w:t>
      </w:r>
      <w:bookmarkStart w:id="0" w:name="_GoBack"/>
      <w:bookmarkEnd w:id="0"/>
      <w:r>
        <w:rPr>
          <w:rFonts w:hint="default" w:ascii="Times New Roman" w:hAnsi="Times New Roman" w:eastAsia="仿宋_GB2312" w:cs="Times New Roman"/>
          <w:b w:val="0"/>
          <w:bCs w:val="0"/>
          <w:color w:val="000000"/>
          <w:sz w:val="32"/>
          <w:szCs w:val="32"/>
          <w:lang w:val="en-US" w:eastAsia="zh-CN"/>
        </w:rPr>
        <w:t>国省关于新媒体建设管理新要求，结合达州实际，大力支持打造主流优质账号，清理“小弱散”账号。对用户关注度低、利用率低和维护不力的政府系统政务新媒体账号将严格督促关停注销。</w:t>
      </w:r>
    </w:p>
    <w:p>
      <w:pPr>
        <w:pStyle w:val="13"/>
        <w:keepNext w:val="0"/>
        <w:keepLines w:val="0"/>
        <w:pageBreakBefore w:val="0"/>
        <w:widowControl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t>六、其他需要报告的事项</w:t>
      </w:r>
    </w:p>
    <w:p>
      <w:pPr>
        <w:pStyle w:val="13"/>
        <w:keepNext w:val="0"/>
        <w:keepLines w:val="0"/>
        <w:pageBreakBefore w:val="0"/>
        <w:widowControl w:val="0"/>
        <w:kinsoku/>
        <w:wordWrap/>
        <w:overflowPunct/>
        <w:topLinePunct w:val="0"/>
        <w:autoSpaceDE/>
        <w:autoSpaceDN/>
        <w:bidi w:val="0"/>
        <w:adjustRightInd w:val="0"/>
        <w:snapToGrid w:val="0"/>
        <w:spacing w:line="578" w:lineRule="exact"/>
        <w:ind w:firstLine="640"/>
        <w:textAlignment w:val="auto"/>
        <w:rPr>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val="0"/>
          <w:color w:val="000000"/>
          <w:sz w:val="32"/>
          <w:szCs w:val="32"/>
        </w:rPr>
        <w:t>达州市202</w:t>
      </w:r>
      <w:r>
        <w:rPr>
          <w:rFonts w:hint="eastAsia" w:ascii="Times New Roman" w:hAnsi="Times New Roman" w:eastAsia="仿宋_GB2312" w:cs="Times New Roman"/>
          <w:b w:val="0"/>
          <w:color w:val="000000"/>
          <w:sz w:val="32"/>
          <w:szCs w:val="32"/>
          <w:lang w:val="en-US" w:eastAsia="zh-CN"/>
        </w:rPr>
        <w:t>5</w:t>
      </w:r>
      <w:r>
        <w:rPr>
          <w:rFonts w:hint="default" w:ascii="Times New Roman" w:hAnsi="Times New Roman" w:eastAsia="仿宋_GB2312" w:cs="Times New Roman"/>
          <w:b w:val="0"/>
          <w:color w:val="000000"/>
          <w:sz w:val="32"/>
          <w:szCs w:val="32"/>
        </w:rPr>
        <w:t>年未发出政府信息处理费收费通知，未收取信息处理费。</w:t>
      </w:r>
    </w:p>
    <w:p>
      <w:pPr>
        <w:pStyle w:val="25"/>
        <w:spacing w:before="0" w:after="0" w:line="578" w:lineRule="exact"/>
        <w:rPr>
          <w:rFonts w:hint="default" w:ascii="Times New Roman" w:hAnsi="Times New Roman" w:eastAsia="黑体" w:cs="Times New Roman"/>
          <w:b w:val="0"/>
          <w:sz w:val="32"/>
          <w:szCs w:val="32"/>
        </w:rPr>
      </w:pPr>
    </w:p>
    <w:sectPr>
      <w:headerReference r:id="rId3" w:type="first"/>
      <w:footerReference r:id="rId4" w:type="default"/>
      <w:pgSz w:w="11907" w:h="16840"/>
      <w:pgMar w:top="1984" w:right="1474" w:bottom="1587" w:left="1588" w:header="851" w:footer="124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E00006FF" w:usb1="420024FF"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仿宋"/>
    <w:panose1 w:val="02010609030101010101"/>
    <w:charset w:val="00"/>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webdings"/>
    <w:panose1 w:val="02010609030101010101"/>
    <w:charset w:val="00"/>
    <w:family w:val="modern"/>
    <w:pitch w:val="default"/>
    <w:sig w:usb0="00000003" w:usb1="00000000" w:usb2="00000000" w:usb3="00000000" w:csb0="00000001" w:csb1="00000000"/>
  </w:font>
  <w:font w:name="webdings">
    <w:panose1 w:val="02000609000000000000"/>
    <w:charset w:val="00"/>
    <w:family w:val="auto"/>
    <w:pitch w:val="default"/>
    <w:sig w:usb0="800000AF" w:usb1="5000204A" w:usb2="00000000" w:usb3="00000000" w:csb0="20000000" w:csb1="00000000"/>
  </w:font>
  <w:font w:name="Arial">
    <w:altName w:val="Times New Roman"/>
    <w:panose1 w:val="020B0604020202020204"/>
    <w:charset w:val="00"/>
    <w:family w:val="swiss"/>
    <w:pitch w:val="default"/>
    <w:sig w:usb0="E0003EFF" w:usb1="C000785B" w:usb2="00000009" w:usb3="00000000" w:csb0="000001FF" w:csb1="00000000"/>
  </w:font>
  <w:font w:name="Arial Unicode MS">
    <w:altName w:val="Times New Roman"/>
    <w:panose1 w:val="020B0604020202020204"/>
    <w:charset w:val="00"/>
    <w:family w:val="swiss"/>
    <w:pitch w:val="default"/>
    <w:sig w:usb0="FFFFFFFF" w:usb1="E9FFFFFF" w:usb2="0000003F" w:usb3="00000000" w:csb0="003F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ind w:left="210" w:leftChars="100" w:right="210" w:rightChars="100"/>
      <w:rPr>
        <w:rStyle w:val="18"/>
        <w:rFonts w:ascii="宋体"/>
        <w:sz w:val="28"/>
        <w:szCs w:val="28"/>
      </w:rPr>
    </w:pPr>
    <w:r>
      <w:rPr>
        <w:rStyle w:val="18"/>
        <w:rFonts w:ascii="宋体" w:hAnsi="宋体" w:cs="宋体"/>
        <w:sz w:val="28"/>
        <w:szCs w:val="28"/>
      </w:rPr>
      <w:fldChar w:fldCharType="begin"/>
    </w:r>
    <w:r>
      <w:rPr>
        <w:rStyle w:val="18"/>
        <w:rFonts w:ascii="宋体" w:hAnsi="宋体" w:cs="宋体"/>
        <w:sz w:val="28"/>
        <w:szCs w:val="28"/>
      </w:rPr>
      <w:instrText xml:space="preserve">PAGE  </w:instrText>
    </w:r>
    <w:r>
      <w:rPr>
        <w:rStyle w:val="18"/>
        <w:rFonts w:ascii="宋体" w:hAnsi="宋体" w:cs="宋体"/>
        <w:sz w:val="28"/>
        <w:szCs w:val="28"/>
      </w:rPr>
      <w:fldChar w:fldCharType="separate"/>
    </w:r>
    <w:r>
      <w:rPr>
        <w:rStyle w:val="18"/>
        <w:rFonts w:ascii="宋体" w:hAnsi="宋体" w:cs="宋体"/>
        <w:sz w:val="28"/>
        <w:szCs w:val="28"/>
        <w:lang/>
      </w:rPr>
      <w:t>- 12 -</w:t>
    </w:r>
    <w:r>
      <w:rPr>
        <w:rStyle w:val="18"/>
        <w:rFonts w:ascii="宋体" w:hAnsi="宋体" w:cs="宋体"/>
        <w:sz w:val="28"/>
        <w:szCs w:val="28"/>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pacing w:beforeAutospacing="0" w:afterAutospacing="0" w:line="800" w:lineRule="exact"/>
      <w:jc w:val="center"/>
      <w:rPr>
        <w:rFonts w:ascii="Times New Roman" w:hAnsi="Times New Roman" w:eastAsia="方正小标宋简体" w:cs="Calibri"/>
        <w:b w:val="0"/>
        <w:bCs w:val="0"/>
        <w:color w:val="000000"/>
        <w:sz w:val="44"/>
        <w:szCs w:val="44"/>
      </w:rPr>
    </w:pPr>
  </w:p>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readOnly"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17D"/>
    <w:rsid w:val="00027AD2"/>
    <w:rsid w:val="00045330"/>
    <w:rsid w:val="00047E60"/>
    <w:rsid w:val="000561BE"/>
    <w:rsid w:val="0008092E"/>
    <w:rsid w:val="00084EA7"/>
    <w:rsid w:val="000E2897"/>
    <w:rsid w:val="000F78E0"/>
    <w:rsid w:val="001303B6"/>
    <w:rsid w:val="001362DD"/>
    <w:rsid w:val="0014027D"/>
    <w:rsid w:val="00150F2C"/>
    <w:rsid w:val="00153770"/>
    <w:rsid w:val="001B2D37"/>
    <w:rsid w:val="002039FE"/>
    <w:rsid w:val="00216442"/>
    <w:rsid w:val="00223218"/>
    <w:rsid w:val="00230874"/>
    <w:rsid w:val="0023708B"/>
    <w:rsid w:val="00284D0A"/>
    <w:rsid w:val="002908A6"/>
    <w:rsid w:val="002923C6"/>
    <w:rsid w:val="002B69CD"/>
    <w:rsid w:val="002C4569"/>
    <w:rsid w:val="002F717D"/>
    <w:rsid w:val="003214C6"/>
    <w:rsid w:val="00337191"/>
    <w:rsid w:val="003421A9"/>
    <w:rsid w:val="0039581E"/>
    <w:rsid w:val="003A06E0"/>
    <w:rsid w:val="003B1A56"/>
    <w:rsid w:val="003B3523"/>
    <w:rsid w:val="003E5455"/>
    <w:rsid w:val="00415647"/>
    <w:rsid w:val="00421A09"/>
    <w:rsid w:val="00425E2B"/>
    <w:rsid w:val="00435D20"/>
    <w:rsid w:val="00437EA6"/>
    <w:rsid w:val="00440CED"/>
    <w:rsid w:val="004511AD"/>
    <w:rsid w:val="00494536"/>
    <w:rsid w:val="0049538B"/>
    <w:rsid w:val="004A025E"/>
    <w:rsid w:val="004B0658"/>
    <w:rsid w:val="004D1E49"/>
    <w:rsid w:val="004D5CB1"/>
    <w:rsid w:val="004F5B87"/>
    <w:rsid w:val="00504742"/>
    <w:rsid w:val="00504889"/>
    <w:rsid w:val="005116BB"/>
    <w:rsid w:val="00523F5A"/>
    <w:rsid w:val="00560325"/>
    <w:rsid w:val="0057214F"/>
    <w:rsid w:val="005954BE"/>
    <w:rsid w:val="0059568B"/>
    <w:rsid w:val="005B5014"/>
    <w:rsid w:val="005C06C0"/>
    <w:rsid w:val="005C492F"/>
    <w:rsid w:val="006304DB"/>
    <w:rsid w:val="0063178F"/>
    <w:rsid w:val="00666E3B"/>
    <w:rsid w:val="00671A59"/>
    <w:rsid w:val="00680BE2"/>
    <w:rsid w:val="00685235"/>
    <w:rsid w:val="006A3A96"/>
    <w:rsid w:val="006F3E9B"/>
    <w:rsid w:val="00703FD8"/>
    <w:rsid w:val="00707B09"/>
    <w:rsid w:val="007366AD"/>
    <w:rsid w:val="00742EC8"/>
    <w:rsid w:val="007657E8"/>
    <w:rsid w:val="0077201F"/>
    <w:rsid w:val="00791ABE"/>
    <w:rsid w:val="007A049E"/>
    <w:rsid w:val="007C2A55"/>
    <w:rsid w:val="007D0CCC"/>
    <w:rsid w:val="007E229E"/>
    <w:rsid w:val="007E2FBA"/>
    <w:rsid w:val="007F584A"/>
    <w:rsid w:val="007F7011"/>
    <w:rsid w:val="0080204B"/>
    <w:rsid w:val="00825C95"/>
    <w:rsid w:val="0086153F"/>
    <w:rsid w:val="008630DB"/>
    <w:rsid w:val="00880229"/>
    <w:rsid w:val="00891C62"/>
    <w:rsid w:val="008A0AB6"/>
    <w:rsid w:val="008C500A"/>
    <w:rsid w:val="008F669E"/>
    <w:rsid w:val="009023CE"/>
    <w:rsid w:val="00904AEB"/>
    <w:rsid w:val="009265D2"/>
    <w:rsid w:val="00955A75"/>
    <w:rsid w:val="00972D6C"/>
    <w:rsid w:val="00980486"/>
    <w:rsid w:val="009856D6"/>
    <w:rsid w:val="0098734B"/>
    <w:rsid w:val="009A26A8"/>
    <w:rsid w:val="009C4655"/>
    <w:rsid w:val="00A21C1A"/>
    <w:rsid w:val="00A34F06"/>
    <w:rsid w:val="00A5479B"/>
    <w:rsid w:val="00A63F17"/>
    <w:rsid w:val="00A6780E"/>
    <w:rsid w:val="00A94B05"/>
    <w:rsid w:val="00AA2355"/>
    <w:rsid w:val="00AC22D4"/>
    <w:rsid w:val="00AD6134"/>
    <w:rsid w:val="00AE1E58"/>
    <w:rsid w:val="00AE6844"/>
    <w:rsid w:val="00AF75B6"/>
    <w:rsid w:val="00B165BA"/>
    <w:rsid w:val="00B4348C"/>
    <w:rsid w:val="00B4357E"/>
    <w:rsid w:val="00B441A0"/>
    <w:rsid w:val="00B6204E"/>
    <w:rsid w:val="00B661C4"/>
    <w:rsid w:val="00BA5377"/>
    <w:rsid w:val="00BA59C1"/>
    <w:rsid w:val="00BC143C"/>
    <w:rsid w:val="00BD44BD"/>
    <w:rsid w:val="00BF45FD"/>
    <w:rsid w:val="00BF617D"/>
    <w:rsid w:val="00C039C4"/>
    <w:rsid w:val="00C126B1"/>
    <w:rsid w:val="00C24AAA"/>
    <w:rsid w:val="00C37EC0"/>
    <w:rsid w:val="00C47243"/>
    <w:rsid w:val="00C71F79"/>
    <w:rsid w:val="00CD178A"/>
    <w:rsid w:val="00CD34CB"/>
    <w:rsid w:val="00CE76B1"/>
    <w:rsid w:val="00CF4920"/>
    <w:rsid w:val="00D02925"/>
    <w:rsid w:val="00D276D2"/>
    <w:rsid w:val="00D30651"/>
    <w:rsid w:val="00D468F9"/>
    <w:rsid w:val="00D46F16"/>
    <w:rsid w:val="00D76753"/>
    <w:rsid w:val="00DB65C7"/>
    <w:rsid w:val="00DB704D"/>
    <w:rsid w:val="00DC2383"/>
    <w:rsid w:val="00DF59C6"/>
    <w:rsid w:val="00E973E8"/>
    <w:rsid w:val="00EB1017"/>
    <w:rsid w:val="00EC3162"/>
    <w:rsid w:val="00EC7FD2"/>
    <w:rsid w:val="00ED7521"/>
    <w:rsid w:val="00EE6C8F"/>
    <w:rsid w:val="00F157B6"/>
    <w:rsid w:val="00F21427"/>
    <w:rsid w:val="00F43D0B"/>
    <w:rsid w:val="00F51249"/>
    <w:rsid w:val="00F71EDD"/>
    <w:rsid w:val="00F72E06"/>
    <w:rsid w:val="00F967A7"/>
    <w:rsid w:val="00FA1A0B"/>
    <w:rsid w:val="00FD3FD9"/>
    <w:rsid w:val="00FE694A"/>
    <w:rsid w:val="0B1DA245"/>
    <w:rsid w:val="15ED6984"/>
    <w:rsid w:val="1BFF54C9"/>
    <w:rsid w:val="1CFB0363"/>
    <w:rsid w:val="1DF70CB0"/>
    <w:rsid w:val="1DFEBD85"/>
    <w:rsid w:val="1E9F9EC1"/>
    <w:rsid w:val="1FF63196"/>
    <w:rsid w:val="1FFF49B0"/>
    <w:rsid w:val="22EF0A86"/>
    <w:rsid w:val="26F77286"/>
    <w:rsid w:val="27B74D09"/>
    <w:rsid w:val="29376DE9"/>
    <w:rsid w:val="29FF38E3"/>
    <w:rsid w:val="2DDFD18B"/>
    <w:rsid w:val="2DE73EC1"/>
    <w:rsid w:val="2F5FEE3D"/>
    <w:rsid w:val="2FFFB3E2"/>
    <w:rsid w:val="357F55E1"/>
    <w:rsid w:val="37B48BD9"/>
    <w:rsid w:val="37BFC33E"/>
    <w:rsid w:val="37DF2F70"/>
    <w:rsid w:val="37DF4A28"/>
    <w:rsid w:val="37FDE744"/>
    <w:rsid w:val="397F2CD2"/>
    <w:rsid w:val="3BDBD29B"/>
    <w:rsid w:val="3BDF9B43"/>
    <w:rsid w:val="3BE4A1E4"/>
    <w:rsid w:val="3C7B87FA"/>
    <w:rsid w:val="3DEE2B3C"/>
    <w:rsid w:val="3DFAC268"/>
    <w:rsid w:val="3F6A01B3"/>
    <w:rsid w:val="3F737775"/>
    <w:rsid w:val="3F86DAF6"/>
    <w:rsid w:val="3FF3FD22"/>
    <w:rsid w:val="3FFDF0B7"/>
    <w:rsid w:val="3FFFB5C7"/>
    <w:rsid w:val="43FF8792"/>
    <w:rsid w:val="461C40DB"/>
    <w:rsid w:val="4877FB98"/>
    <w:rsid w:val="49BDFC0D"/>
    <w:rsid w:val="4BE92830"/>
    <w:rsid w:val="4BEF7061"/>
    <w:rsid w:val="4FA7B542"/>
    <w:rsid w:val="4FBE787F"/>
    <w:rsid w:val="51FED7AB"/>
    <w:rsid w:val="556D2008"/>
    <w:rsid w:val="55AF2AEA"/>
    <w:rsid w:val="55B59685"/>
    <w:rsid w:val="576B6B24"/>
    <w:rsid w:val="57EB62C7"/>
    <w:rsid w:val="57FE803A"/>
    <w:rsid w:val="593FD554"/>
    <w:rsid w:val="5A5E7BCF"/>
    <w:rsid w:val="5AB74F4F"/>
    <w:rsid w:val="5B2BBFA4"/>
    <w:rsid w:val="5BD462C2"/>
    <w:rsid w:val="5BDB5A6D"/>
    <w:rsid w:val="5BF38203"/>
    <w:rsid w:val="5CEDFB5F"/>
    <w:rsid w:val="5EF77C95"/>
    <w:rsid w:val="5EFA7CCD"/>
    <w:rsid w:val="5F375C3B"/>
    <w:rsid w:val="5F5DDF40"/>
    <w:rsid w:val="5F7EA3CF"/>
    <w:rsid w:val="5F8BC828"/>
    <w:rsid w:val="5FBEA24D"/>
    <w:rsid w:val="5FDB4355"/>
    <w:rsid w:val="5FF94981"/>
    <w:rsid w:val="61F2D623"/>
    <w:rsid w:val="63EFBDFC"/>
    <w:rsid w:val="63F95E5F"/>
    <w:rsid w:val="66839DB8"/>
    <w:rsid w:val="67BEE098"/>
    <w:rsid w:val="67F706CA"/>
    <w:rsid w:val="6A7F818F"/>
    <w:rsid w:val="6B6F0413"/>
    <w:rsid w:val="6B7FBB0B"/>
    <w:rsid w:val="6BFEB81F"/>
    <w:rsid w:val="6BFEFF27"/>
    <w:rsid w:val="6CED7448"/>
    <w:rsid w:val="6DEE1564"/>
    <w:rsid w:val="6E13D3F2"/>
    <w:rsid w:val="6E31C88C"/>
    <w:rsid w:val="6E7F6F17"/>
    <w:rsid w:val="6E9D8F03"/>
    <w:rsid w:val="6EE6DD9B"/>
    <w:rsid w:val="6EE7163E"/>
    <w:rsid w:val="6F8FB004"/>
    <w:rsid w:val="6FBB27F8"/>
    <w:rsid w:val="6FBE627A"/>
    <w:rsid w:val="6FD5B761"/>
    <w:rsid w:val="6FF36D58"/>
    <w:rsid w:val="6FF7A9FA"/>
    <w:rsid w:val="6FFAF0ED"/>
    <w:rsid w:val="6FFB1850"/>
    <w:rsid w:val="6FFD309D"/>
    <w:rsid w:val="6FFDC395"/>
    <w:rsid w:val="6FFF438D"/>
    <w:rsid w:val="6FFF512C"/>
    <w:rsid w:val="71BF4E78"/>
    <w:rsid w:val="71F6E6CB"/>
    <w:rsid w:val="72AFD15A"/>
    <w:rsid w:val="73FFC854"/>
    <w:rsid w:val="74BF448B"/>
    <w:rsid w:val="74F72316"/>
    <w:rsid w:val="7572965A"/>
    <w:rsid w:val="757DE146"/>
    <w:rsid w:val="76F739C2"/>
    <w:rsid w:val="771F0315"/>
    <w:rsid w:val="773FB81B"/>
    <w:rsid w:val="7777A3C6"/>
    <w:rsid w:val="77AACB6A"/>
    <w:rsid w:val="77E519FC"/>
    <w:rsid w:val="77EC4FFF"/>
    <w:rsid w:val="77F95962"/>
    <w:rsid w:val="77FB33D6"/>
    <w:rsid w:val="77FE7305"/>
    <w:rsid w:val="77FFB447"/>
    <w:rsid w:val="78DFCB6B"/>
    <w:rsid w:val="797C9218"/>
    <w:rsid w:val="79F93B83"/>
    <w:rsid w:val="79FF432F"/>
    <w:rsid w:val="7AE1701D"/>
    <w:rsid w:val="7AFF1FA8"/>
    <w:rsid w:val="7B3E27D7"/>
    <w:rsid w:val="7BFFAAB9"/>
    <w:rsid w:val="7CBD5A22"/>
    <w:rsid w:val="7CFBB1A5"/>
    <w:rsid w:val="7CFF053D"/>
    <w:rsid w:val="7D290DD5"/>
    <w:rsid w:val="7D9FD792"/>
    <w:rsid w:val="7DAF6F94"/>
    <w:rsid w:val="7DBF78F4"/>
    <w:rsid w:val="7DCFBA55"/>
    <w:rsid w:val="7DFDA883"/>
    <w:rsid w:val="7DFF3058"/>
    <w:rsid w:val="7EC6586E"/>
    <w:rsid w:val="7ED78089"/>
    <w:rsid w:val="7EE9DF94"/>
    <w:rsid w:val="7F2F63F8"/>
    <w:rsid w:val="7F5ECFF3"/>
    <w:rsid w:val="7F7D58EC"/>
    <w:rsid w:val="7F7D845E"/>
    <w:rsid w:val="7F8E0B3B"/>
    <w:rsid w:val="7F9E7C8E"/>
    <w:rsid w:val="7FABE0DD"/>
    <w:rsid w:val="7FB3696F"/>
    <w:rsid w:val="7FCB071E"/>
    <w:rsid w:val="7FCE65A3"/>
    <w:rsid w:val="7FCF80F8"/>
    <w:rsid w:val="7FDC050F"/>
    <w:rsid w:val="7FDD1FF3"/>
    <w:rsid w:val="7FDFD992"/>
    <w:rsid w:val="7FE8794E"/>
    <w:rsid w:val="7FF3D99A"/>
    <w:rsid w:val="7FF51FC7"/>
    <w:rsid w:val="7FF89E6E"/>
    <w:rsid w:val="7FFBD533"/>
    <w:rsid w:val="7FFDB312"/>
    <w:rsid w:val="7FFEAE41"/>
    <w:rsid w:val="7FFECC20"/>
    <w:rsid w:val="8F3FD477"/>
    <w:rsid w:val="937F229A"/>
    <w:rsid w:val="9AB7513A"/>
    <w:rsid w:val="9B2E7B09"/>
    <w:rsid w:val="9C4F3A91"/>
    <w:rsid w:val="9D4B5CFF"/>
    <w:rsid w:val="9D7F1DEA"/>
    <w:rsid w:val="9F79A14F"/>
    <w:rsid w:val="9FBD70DF"/>
    <w:rsid w:val="9FDB0FA2"/>
    <w:rsid w:val="9FF6A972"/>
    <w:rsid w:val="A7B78661"/>
    <w:rsid w:val="AB7D253E"/>
    <w:rsid w:val="AEAF281E"/>
    <w:rsid w:val="AFBC9241"/>
    <w:rsid w:val="AFE7CCB7"/>
    <w:rsid w:val="B1267AF5"/>
    <w:rsid w:val="B5DFD470"/>
    <w:rsid w:val="B5E79B50"/>
    <w:rsid w:val="B77B6B85"/>
    <w:rsid w:val="B7DDF777"/>
    <w:rsid w:val="B8BD512A"/>
    <w:rsid w:val="B9AFB767"/>
    <w:rsid w:val="BA7B23C6"/>
    <w:rsid w:val="BAA1A502"/>
    <w:rsid w:val="BAFF6E5F"/>
    <w:rsid w:val="BB7FACB1"/>
    <w:rsid w:val="BB9BB63F"/>
    <w:rsid w:val="BBC487F8"/>
    <w:rsid w:val="BCBF2E42"/>
    <w:rsid w:val="BDDE47BA"/>
    <w:rsid w:val="BDF988B3"/>
    <w:rsid w:val="BDFB9B3F"/>
    <w:rsid w:val="BEAF4848"/>
    <w:rsid w:val="BEB1951D"/>
    <w:rsid w:val="BFB31DDA"/>
    <w:rsid w:val="BFCD2805"/>
    <w:rsid w:val="BFE7C379"/>
    <w:rsid w:val="BFF5C7BF"/>
    <w:rsid w:val="BFF6E9D4"/>
    <w:rsid w:val="BFF6EB42"/>
    <w:rsid w:val="C6EB5510"/>
    <w:rsid w:val="C6F9A13C"/>
    <w:rsid w:val="C7CE38C6"/>
    <w:rsid w:val="CB5FF944"/>
    <w:rsid w:val="CDF7DBF0"/>
    <w:rsid w:val="CEF95511"/>
    <w:rsid w:val="CF3F5F6B"/>
    <w:rsid w:val="CF7F19B9"/>
    <w:rsid w:val="CFCEB4F2"/>
    <w:rsid w:val="CFEFDFE8"/>
    <w:rsid w:val="D1DAD1D7"/>
    <w:rsid w:val="D5D1771E"/>
    <w:rsid w:val="D75EF49A"/>
    <w:rsid w:val="D7ABAA6F"/>
    <w:rsid w:val="D7FFE001"/>
    <w:rsid w:val="DA7D6881"/>
    <w:rsid w:val="DAFAE38B"/>
    <w:rsid w:val="DB1EF3EE"/>
    <w:rsid w:val="DBFF5B36"/>
    <w:rsid w:val="DDFF7137"/>
    <w:rsid w:val="DEAE8A99"/>
    <w:rsid w:val="DEFF87C0"/>
    <w:rsid w:val="DFAFA1B9"/>
    <w:rsid w:val="DFBBC724"/>
    <w:rsid w:val="DFE3BBFB"/>
    <w:rsid w:val="DFED9108"/>
    <w:rsid w:val="DFF7E9E8"/>
    <w:rsid w:val="DFFA7432"/>
    <w:rsid w:val="DFFBF66E"/>
    <w:rsid w:val="E3B5E0D0"/>
    <w:rsid w:val="E77B278E"/>
    <w:rsid w:val="E77F69FB"/>
    <w:rsid w:val="E9F71EFB"/>
    <w:rsid w:val="EA7F5D96"/>
    <w:rsid w:val="EABFF035"/>
    <w:rsid w:val="EC271C96"/>
    <w:rsid w:val="ED6D9136"/>
    <w:rsid w:val="ED712CC4"/>
    <w:rsid w:val="EDDF5AC4"/>
    <w:rsid w:val="EDEF9053"/>
    <w:rsid w:val="EE6EE2AF"/>
    <w:rsid w:val="EF4C41E2"/>
    <w:rsid w:val="EF5F94E0"/>
    <w:rsid w:val="EF9753D6"/>
    <w:rsid w:val="EFE59418"/>
    <w:rsid w:val="EFFF2BB7"/>
    <w:rsid w:val="F1F543D7"/>
    <w:rsid w:val="F35DF830"/>
    <w:rsid w:val="F36B848F"/>
    <w:rsid w:val="F3EB6073"/>
    <w:rsid w:val="F3FFB771"/>
    <w:rsid w:val="F41F99E7"/>
    <w:rsid w:val="F4EF9BB4"/>
    <w:rsid w:val="F5F37F5B"/>
    <w:rsid w:val="F64FD381"/>
    <w:rsid w:val="F68575A5"/>
    <w:rsid w:val="F6EE51F4"/>
    <w:rsid w:val="F73F6B7C"/>
    <w:rsid w:val="F79AF5FF"/>
    <w:rsid w:val="F7EB5FD7"/>
    <w:rsid w:val="F7EFDA18"/>
    <w:rsid w:val="F7FF1EE3"/>
    <w:rsid w:val="F7FF6AC4"/>
    <w:rsid w:val="F7FF70D5"/>
    <w:rsid w:val="F83BBEE9"/>
    <w:rsid w:val="F9DFB720"/>
    <w:rsid w:val="FAFE3DF6"/>
    <w:rsid w:val="FB3B86D0"/>
    <w:rsid w:val="FBFDCE21"/>
    <w:rsid w:val="FBFFC634"/>
    <w:rsid w:val="FBFFD7A7"/>
    <w:rsid w:val="FD2DB9E8"/>
    <w:rsid w:val="FD7B30A3"/>
    <w:rsid w:val="FD7F5751"/>
    <w:rsid w:val="FDA61349"/>
    <w:rsid w:val="FDB9FB7F"/>
    <w:rsid w:val="FDBEA2B6"/>
    <w:rsid w:val="FDFA7777"/>
    <w:rsid w:val="FE3F7D8A"/>
    <w:rsid w:val="FE49B52B"/>
    <w:rsid w:val="FE734873"/>
    <w:rsid w:val="FECB472A"/>
    <w:rsid w:val="FEECB05B"/>
    <w:rsid w:val="FEEFAB40"/>
    <w:rsid w:val="FEFFEF85"/>
    <w:rsid w:val="FF7A492D"/>
    <w:rsid w:val="FF7FF419"/>
    <w:rsid w:val="FF9D0B00"/>
    <w:rsid w:val="FFB24CC3"/>
    <w:rsid w:val="FFB3A7C7"/>
    <w:rsid w:val="FFBBD886"/>
    <w:rsid w:val="FFBD5CCA"/>
    <w:rsid w:val="FFBFFB9E"/>
    <w:rsid w:val="FFDE1099"/>
    <w:rsid w:val="FFDEB3FD"/>
    <w:rsid w:val="FFDF7C8A"/>
    <w:rsid w:val="FFF356FD"/>
    <w:rsid w:val="FFF35C81"/>
    <w:rsid w:val="FFF698D1"/>
    <w:rsid w:val="FFF77B26"/>
    <w:rsid w:val="FFF7BE42"/>
    <w:rsid w:val="FFF9A804"/>
    <w:rsid w:val="FFFEB410"/>
    <w:rsid w:val="FFFF52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nhideWhenUsed="0" w:uiPriority="0"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0" w:semiHidden="0" w:name="Body Text" w:locked="1"/>
    <w:lsdException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iPriority="0" w:semiHidden="0" w:name="Salutation" w:locked="1"/>
    <w:lsdException w:uiPriority="99" w:name="Date" w:locked="1"/>
    <w:lsdException w:uiPriority="99" w:name="Body Text First Indent" w:locked="1"/>
    <w:lsdException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unhideWhenUsed="0" w:uiPriority="0"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0"/>
    <w:qFormat/>
    <w:uiPriority w:val="99"/>
    <w:pPr>
      <w:spacing w:beforeAutospacing="1" w:afterAutospacing="1"/>
      <w:jc w:val="left"/>
      <w:outlineLvl w:val="0"/>
    </w:pPr>
    <w:rPr>
      <w:rFonts w:ascii="宋体" w:cs="宋体"/>
      <w:b/>
      <w:bCs/>
      <w:kern w:val="44"/>
      <w:sz w:val="48"/>
      <w:szCs w:val="48"/>
    </w:rPr>
  </w:style>
  <w:style w:type="paragraph" w:styleId="4">
    <w:name w:val="heading 2"/>
    <w:basedOn w:val="1"/>
    <w:next w:val="1"/>
    <w:link w:val="21"/>
    <w:qFormat/>
    <w:uiPriority w:val="99"/>
    <w:pPr>
      <w:spacing w:beforeAutospacing="1" w:afterAutospacing="1"/>
      <w:jc w:val="left"/>
      <w:outlineLvl w:val="1"/>
    </w:pPr>
    <w:rPr>
      <w:rFonts w:ascii="宋体" w:cs="宋体"/>
      <w:b/>
      <w:bCs/>
      <w:kern w:val="0"/>
      <w:sz w:val="36"/>
      <w:szCs w:val="36"/>
    </w:rPr>
  </w:style>
  <w:style w:type="paragraph" w:styleId="5">
    <w:name w:val="heading 3"/>
    <w:basedOn w:val="1"/>
    <w:next w:val="1"/>
    <w:link w:val="22"/>
    <w:qFormat/>
    <w:uiPriority w:val="99"/>
    <w:pPr>
      <w:keepNext/>
      <w:keepLines/>
      <w:spacing w:before="260" w:after="260" w:line="415" w:lineRule="auto"/>
      <w:outlineLvl w:val="2"/>
    </w:pPr>
    <w:rPr>
      <w:b/>
      <w:bCs/>
      <w:sz w:val="32"/>
      <w:szCs w:val="32"/>
    </w:rPr>
  </w:style>
  <w:style w:type="character" w:default="1" w:styleId="16">
    <w:name w:val="Default Paragraph Font"/>
    <w:semiHidden/>
    <w:uiPriority w:val="99"/>
  </w:style>
  <w:style w:type="table" w:default="1" w:styleId="14">
    <w:name w:val="Normal Table"/>
    <w:unhideWhenUsed/>
    <w:qFormat/>
    <w:uiPriority w:val="99"/>
    <w:tblPr>
      <w:tblStyle w:val="14"/>
      <w:tblCellMar>
        <w:top w:w="0" w:type="dxa"/>
        <w:left w:w="108" w:type="dxa"/>
        <w:bottom w:w="0" w:type="dxa"/>
        <w:right w:w="108" w:type="dxa"/>
      </w:tblCellMar>
    </w:tblPr>
  </w:style>
  <w:style w:type="paragraph" w:styleId="2">
    <w:name w:val="toc 1"/>
    <w:basedOn w:val="1"/>
    <w:next w:val="1"/>
    <w:qFormat/>
    <w:locked/>
    <w:uiPriority w:val="0"/>
    <w:rPr>
      <w:rFonts w:ascii="Calibri" w:hAnsi="Calibri"/>
    </w:rPr>
  </w:style>
  <w:style w:type="paragraph" w:styleId="6">
    <w:name w:val="index 5"/>
    <w:basedOn w:val="1"/>
    <w:next w:val="1"/>
    <w:locked/>
    <w:uiPriority w:val="0"/>
    <w:pPr>
      <w:ind w:left="1680"/>
    </w:pPr>
    <w:rPr>
      <w:rFonts w:eastAsia="仿宋_GB2312" w:cs="Times New Roman"/>
      <w:sz w:val="32"/>
      <w:szCs w:val="24"/>
    </w:rPr>
  </w:style>
  <w:style w:type="paragraph" w:styleId="7">
    <w:name w:val="Salutation"/>
    <w:basedOn w:val="1"/>
    <w:next w:val="1"/>
    <w:unhideWhenUsed/>
    <w:qFormat/>
    <w:locked/>
    <w:uiPriority w:val="0"/>
  </w:style>
  <w:style w:type="paragraph" w:styleId="8">
    <w:name w:val="Body Text"/>
    <w:basedOn w:val="1"/>
    <w:locked/>
    <w:uiPriority w:val="0"/>
    <w:pPr>
      <w:spacing w:after="120"/>
    </w:pPr>
  </w:style>
  <w:style w:type="paragraph" w:styleId="9">
    <w:name w:val="Body Text Indent"/>
    <w:basedOn w:val="1"/>
    <w:locked/>
    <w:uiPriority w:val="0"/>
    <w:pPr>
      <w:spacing w:after="120"/>
      <w:ind w:left="420" w:leftChars="200"/>
    </w:pPr>
  </w:style>
  <w:style w:type="paragraph" w:styleId="10">
    <w:name w:val="footer"/>
    <w:basedOn w:val="1"/>
    <w:link w:val="23"/>
    <w:uiPriority w:val="99"/>
    <w:pPr>
      <w:tabs>
        <w:tab w:val="center" w:pos="4153"/>
        <w:tab w:val="right" w:pos="8306"/>
      </w:tabs>
      <w:snapToGrid w:val="0"/>
      <w:jc w:val="left"/>
    </w:pPr>
    <w:rPr>
      <w:sz w:val="18"/>
      <w:szCs w:val="18"/>
    </w:rPr>
  </w:style>
  <w:style w:type="paragraph" w:styleId="11">
    <w:name w:val="header"/>
    <w:basedOn w:val="1"/>
    <w:link w:val="24"/>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99"/>
    <w:pPr>
      <w:spacing w:beforeAutospacing="1" w:afterAutospacing="1"/>
      <w:jc w:val="left"/>
    </w:pPr>
    <w:rPr>
      <w:kern w:val="0"/>
      <w:sz w:val="24"/>
      <w:szCs w:val="24"/>
    </w:rPr>
  </w:style>
  <w:style w:type="paragraph" w:styleId="13">
    <w:name w:val="Body Text First Indent 2"/>
    <w:basedOn w:val="9"/>
    <w:next w:val="1"/>
    <w:locked/>
    <w:uiPriority w:val="0"/>
    <w:pPr>
      <w:spacing w:after="0" w:line="600" w:lineRule="atLeast"/>
      <w:ind w:left="0" w:leftChars="0" w:firstLine="200" w:firstLineChars="200"/>
    </w:pPr>
    <w:rPr>
      <w:rFonts w:ascii="??_GB2312" w:hAnsi="??_GB2312" w:cs="??_GB2312"/>
      <w:b/>
      <w:bCs/>
      <w:sz w:val="30"/>
      <w:szCs w:val="30"/>
    </w:rPr>
  </w:style>
  <w:style w:type="table" w:styleId="15">
    <w:name w:val="Table Grid"/>
    <w:basedOn w:val="14"/>
    <w:uiPriority w:val="99"/>
    <w:pPr>
      <w:widowControl w:val="0"/>
      <w:jc w:val="both"/>
    </w:pPr>
    <w:rPr>
      <w:kern w:val="0"/>
      <w:sz w:val="20"/>
      <w:szCs w:val="20"/>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locked/>
    <w:uiPriority w:val="0"/>
    <w:rPr>
      <w:b/>
    </w:rPr>
  </w:style>
  <w:style w:type="character" w:styleId="18">
    <w:name w:val="page number"/>
    <w:basedOn w:val="16"/>
    <w:uiPriority w:val="99"/>
  </w:style>
  <w:style w:type="character" w:styleId="19">
    <w:name w:val="Hyperlink"/>
    <w:basedOn w:val="16"/>
    <w:uiPriority w:val="99"/>
    <w:rPr>
      <w:color w:val="0000FF"/>
      <w:u w:val="single"/>
    </w:rPr>
  </w:style>
  <w:style w:type="character" w:customStyle="1" w:styleId="20">
    <w:name w:val="Heading 1 Char"/>
    <w:basedOn w:val="16"/>
    <w:link w:val="3"/>
    <w:locked/>
    <w:uiPriority w:val="99"/>
    <w:rPr>
      <w:rFonts w:ascii="Calibri" w:hAnsi="Calibri" w:cs="Calibri"/>
      <w:b/>
      <w:bCs/>
      <w:kern w:val="44"/>
      <w:sz w:val="44"/>
      <w:szCs w:val="44"/>
    </w:rPr>
  </w:style>
  <w:style w:type="character" w:customStyle="1" w:styleId="21">
    <w:name w:val="Heading 2 Char"/>
    <w:basedOn w:val="16"/>
    <w:link w:val="4"/>
    <w:semiHidden/>
    <w:qFormat/>
    <w:locked/>
    <w:uiPriority w:val="99"/>
    <w:rPr>
      <w:rFonts w:ascii="Cambria" w:hAnsi="Cambria" w:eastAsia="宋体" w:cs="Cambria"/>
      <w:b/>
      <w:bCs/>
      <w:sz w:val="32"/>
      <w:szCs w:val="32"/>
    </w:rPr>
  </w:style>
  <w:style w:type="character" w:customStyle="1" w:styleId="22">
    <w:name w:val="Heading 3 Char"/>
    <w:basedOn w:val="16"/>
    <w:link w:val="5"/>
    <w:semiHidden/>
    <w:locked/>
    <w:uiPriority w:val="99"/>
    <w:rPr>
      <w:rFonts w:ascii="Calibri" w:hAnsi="Calibri" w:cs="Calibri"/>
      <w:b/>
      <w:bCs/>
      <w:sz w:val="32"/>
      <w:szCs w:val="32"/>
    </w:rPr>
  </w:style>
  <w:style w:type="character" w:customStyle="1" w:styleId="23">
    <w:name w:val="Footer Char"/>
    <w:basedOn w:val="16"/>
    <w:link w:val="10"/>
    <w:semiHidden/>
    <w:locked/>
    <w:uiPriority w:val="99"/>
    <w:rPr>
      <w:rFonts w:ascii="Calibri" w:hAnsi="Calibri" w:cs="Calibri"/>
      <w:sz w:val="18"/>
      <w:szCs w:val="18"/>
    </w:rPr>
  </w:style>
  <w:style w:type="character" w:customStyle="1" w:styleId="24">
    <w:name w:val="Header Char"/>
    <w:basedOn w:val="16"/>
    <w:link w:val="11"/>
    <w:semiHidden/>
    <w:locked/>
    <w:uiPriority w:val="99"/>
    <w:rPr>
      <w:rFonts w:ascii="Calibri" w:hAnsi="Calibri" w:cs="Calibri"/>
      <w:sz w:val="18"/>
      <w:szCs w:val="18"/>
    </w:rPr>
  </w:style>
  <w:style w:type="paragraph" w:customStyle="1" w:styleId="25">
    <w:name w:val="UserStyle_0"/>
    <w:basedOn w:val="1"/>
    <w:uiPriority w:val="99"/>
    <w:pPr>
      <w:spacing w:before="240" w:after="360" w:line="240" w:lineRule="exact"/>
      <w:textAlignment w:val="baseline"/>
    </w:pPr>
    <w:rPr>
      <w:rFonts w:ascii="Arial" w:hAnsi="Arial" w:cs="Arial"/>
      <w:b/>
      <w:bCs/>
      <w:kern w:val="24"/>
    </w:rPr>
  </w:style>
  <w:style w:type="character" w:customStyle="1" w:styleId="26">
    <w:name w:val="NormalCharacter"/>
    <w:uiPriority w:val="0"/>
  </w:style>
  <w:style w:type="paragraph" w:customStyle="1" w:styleId="27">
    <w:name w:val="图表目录1"/>
    <w:next w:val="1"/>
    <w:uiPriority w:val="0"/>
    <w:pPr>
      <w:widowControl w:val="0"/>
      <w:spacing w:line="578" w:lineRule="exact"/>
      <w:ind w:left="400" w:leftChars="200" w:hanging="200" w:hangingChars="200"/>
    </w:pPr>
    <w:rPr>
      <w:rFonts w:ascii="Arial Unicode MS" w:eastAsia="Arial Unicode MS" w:cs="Arial Unicode MS"/>
      <w:color w:val="000000"/>
      <w:sz w:val="24"/>
      <w:szCs w:val="24"/>
      <w:lang w:val="zh-CN" w:eastAsia="zh-CN" w:bidi="ar-SA"/>
    </w:rPr>
  </w:style>
  <w:style w:type="paragraph" w:customStyle="1" w:styleId="28">
    <w:name w:val="BodyText1I2"/>
    <w:basedOn w:val="1"/>
    <w:qFormat/>
    <w:uiPriority w:val="0"/>
    <w:pPr>
      <w:spacing w:after="120"/>
      <w:ind w:left="420" w:leftChars="200" w:firstLine="420" w:firstLineChars="200"/>
    </w:pPr>
    <w:rPr>
      <w:rFonts w:ascii="Times New Roman" w:hAnsi="Times New Roman" w:cs="Times New Roman"/>
    </w:rPr>
  </w:style>
  <w:style w:type="paragraph" w:customStyle="1" w:styleId="29">
    <w:name w:val="公文主体"/>
    <w:basedOn w:val="1"/>
    <w:qFormat/>
    <w:uiPriority w:val="0"/>
    <w:pPr>
      <w:spacing w:line="580" w:lineRule="exact"/>
      <w:ind w:firstLine="200" w:firstLineChars="200"/>
    </w:pPr>
    <w:rPr>
      <w:rFonts w:ascii="Times New Roman" w:hAnsi="Times New Roman" w:eastAsia="仿宋_GB2312" w:cs="Times New Roman"/>
      <w:sz w:val="32"/>
      <w:szCs w:val="32"/>
    </w:rPr>
  </w:style>
  <w:style w:type="paragraph" w:customStyle="1" w:styleId="30">
    <w:name w:val="表格"/>
    <w:basedOn w:val="29"/>
    <w:next w:val="29"/>
    <w:qFormat/>
    <w:uiPriority w:val="0"/>
    <w:pPr>
      <w:spacing w:line="440" w:lineRule="exact"/>
      <w:ind w:firstLine="0" w:firstLineChars="0"/>
      <w:jc w:val="center"/>
    </w:pPr>
    <w:rPr>
      <w:rFonts w:eastAsia="宋体"/>
      <w:sz w:val="28"/>
      <w:szCs w:val="28"/>
    </w:rPr>
  </w:style>
  <w:style w:type="character" w:customStyle="1" w:styleId="31">
    <w:name w:val="15"/>
    <w:basedOn w:val="16"/>
    <w:qFormat/>
    <w:uiPriority w:val="0"/>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达州市新印文数码科技发展有限公司</Company>
  <Pages>5</Pages>
  <Words>2170</Words>
  <Characters>2339</Characters>
  <Lines>40</Lines>
  <Paragraphs>11</Paragraphs>
  <TotalTime>19.3333333333333</TotalTime>
  <ScaleCrop>false</ScaleCrop>
  <LinksUpToDate>false</LinksUpToDate>
  <CharactersWithSpaces>2341</CharactersWithSpaces>
  <Application>WPS Office_11.1.0.11704_F1E327BC-269C-435d-A152-05C5408002CA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2024-01-08T10:22:00Z</dcterms:created>
  <dc:creator>Lenovo</dc:creator>
  <cp:lastModifiedBy>user</cp:lastModifiedBy>
  <cp:lastPrinted>2025-01-23T06:02:46Z</cp:lastPrinted>
  <dcterms:modified xsi:type="dcterms:W3CDTF">2026-03-03T15:44:17Z</dcterms:modified>
  <dc:title>〔2021〕121号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2052-11.1.0.11704</vt:lpwstr>
  </property>
  <property fmtid="{D5CDD505-2E9C-101B-9397-08002B2CF9AE}" pid="3" name="ICV">
    <vt:lpwstr>508EEA056EE04FFF85212D201ECB1982</vt:lpwstr>
  </property>
</Properties>
</file>