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65B7B">
      <w:pPr>
        <w:adjustRightInd w:val="0"/>
        <w:snapToGrid w:val="0"/>
        <w:spacing w:line="578" w:lineRule="exact"/>
        <w:rPr>
          <w:rFonts w:ascii="黑体" w:eastAsia="黑体" w:hAnsi="黑体" w:cs="黑体" w:hint="eastAsia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000000" w:rsidRDefault="00465B7B">
      <w:pPr>
        <w:adjustRightInd w:val="0"/>
        <w:snapToGrid w:val="0"/>
        <w:spacing w:line="578" w:lineRule="exact"/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44"/>
        </w:rPr>
      </w:pPr>
    </w:p>
    <w:p w:rsidR="00000000" w:rsidRDefault="00465B7B">
      <w:pPr>
        <w:adjustRightInd w:val="0"/>
        <w:snapToGrid w:val="0"/>
        <w:spacing w:line="578" w:lineRule="exact"/>
        <w:jc w:val="center"/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  <w:t>达州市重点产业链融圈强链工作实施方案</w:t>
      </w:r>
    </w:p>
    <w:p w:rsidR="00000000" w:rsidRDefault="00465B7B">
      <w:pPr>
        <w:adjustRightInd w:val="0"/>
        <w:snapToGrid w:val="0"/>
        <w:spacing w:line="578" w:lineRule="exact"/>
        <w:jc w:val="center"/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(</w:t>
      </w: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征求意见稿</w:t>
      </w: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)</w:t>
      </w:r>
    </w:p>
    <w:p w:rsidR="00000000" w:rsidRDefault="00465B7B">
      <w:pPr>
        <w:adjustRightInd w:val="0"/>
        <w:snapToGrid w:val="0"/>
        <w:spacing w:line="578" w:lineRule="exact"/>
        <w:jc w:val="center"/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</w:pPr>
    </w:p>
    <w:p w:rsidR="00000000" w:rsidRDefault="00465B7B">
      <w:pPr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为深入贯彻党的二十大精神，全面落实省委十二届六次全会精神，按照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市委五届九次全会明确的能源化工、先进材料、智能装备制造、食品医药、数字经济、轻纺服饰、低空经济及航空七大领域和省重点产业链，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紧跟省委推进重点产业跨区域协同建圈强链部署，主动融入成渝地区产业生态圈，打造一批根植达州的特色优势产业链，因地制宜发展新质生产力，不断提升产业韧性，特制定本实施方案。</w:t>
      </w:r>
    </w:p>
    <w:p w:rsidR="00000000" w:rsidRDefault="00465B7B">
      <w:pPr>
        <w:adjustRightInd w:val="0"/>
        <w:snapToGrid w:val="0"/>
        <w:spacing w:line="578" w:lineRule="exact"/>
        <w:ind w:firstLineChars="200" w:firstLine="640"/>
        <w:rPr>
          <w:rFonts w:ascii="Times New Roman" w:eastAsia="黑体" w:hAnsi="Times New Roman" w:cs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snapToGrid w:val="0"/>
          <w:kern w:val="0"/>
          <w:sz w:val="32"/>
          <w:szCs w:val="32"/>
        </w:rPr>
        <w:t>一、总体目标</w:t>
      </w:r>
    </w:p>
    <w:p w:rsidR="00000000" w:rsidRDefault="00465B7B">
      <w:pPr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到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2027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年，奋力实现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集群超千亿、圈强链更长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总体目标，全市成功培育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个千亿级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产业集群，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个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500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亿级产业集群，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1—2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个省级先进制造业集群，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个省级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链主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napToGrid w:val="0"/>
          <w:kern w:val="0"/>
          <w:sz w:val="32"/>
          <w:szCs w:val="32"/>
        </w:rPr>
        <w:t>企业。</w:t>
      </w:r>
    </w:p>
    <w:p w:rsidR="00000000" w:rsidRDefault="00465B7B">
      <w:pPr>
        <w:adjustRightInd w:val="0"/>
        <w:snapToGrid w:val="0"/>
        <w:spacing w:line="578" w:lineRule="exact"/>
        <w:ind w:firstLineChars="200" w:firstLine="640"/>
        <w:rPr>
          <w:rFonts w:ascii="Times New Roman" w:eastAsia="黑体" w:hAnsi="Times New Roman" w:cs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snapToGrid w:val="0"/>
          <w:kern w:val="0"/>
          <w:sz w:val="32"/>
          <w:szCs w:val="32"/>
        </w:rPr>
        <w:t>二、工作重点</w:t>
      </w:r>
    </w:p>
    <w:p w:rsidR="00000000" w:rsidRDefault="00465B7B">
      <w:pPr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Cs/>
          <w:sz w:val="32"/>
          <w:szCs w:val="32"/>
        </w:rPr>
        <w:t>（一）加快</w:t>
      </w:r>
      <w:r>
        <w:rPr>
          <w:rFonts w:ascii="Times New Roman" w:eastAsia="楷体_GB2312" w:hAnsi="Times New Roman" w:cs="Times New Roman"/>
          <w:bCs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bCs/>
          <w:sz w:val="32"/>
          <w:szCs w:val="32"/>
        </w:rPr>
        <w:t>链主</w:t>
      </w:r>
      <w:r>
        <w:rPr>
          <w:rFonts w:ascii="Times New Roman" w:eastAsia="楷体_GB2312" w:hAnsi="Times New Roman" w:cs="Times New Roman"/>
          <w:bCs/>
          <w:sz w:val="32"/>
          <w:szCs w:val="32"/>
        </w:rPr>
        <w:t>”</w:t>
      </w:r>
      <w:r>
        <w:rPr>
          <w:rFonts w:ascii="Times New Roman" w:eastAsia="楷体_GB2312" w:hAnsi="Times New Roman" w:cs="Times New Roman"/>
          <w:bCs/>
          <w:sz w:val="32"/>
          <w:szCs w:val="32"/>
        </w:rPr>
        <w:t>企业培育。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采用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定量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+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定性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评价体系，从行业地位、创新能力、产业链融合能力等维度筛选各产业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链主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企业。建立各产业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链主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链属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企业示范库、培育库、候选库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三级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梯度培育台账。建立年度评估机制，对未达标企业启动退出程序，保持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三级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梯度培育台账动态更新。到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2027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年，每</w:t>
      </w:r>
      <w:r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个产业链条培育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2—3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链主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企业。梳理推荐主营业务突出、竞争能力较强、运作规范的企业纳入达州市上市（并购标的）后备企业资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源库。推动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链主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企业牵头建设数字化平台、开放应用场景，为链上企业提供数字化转型解决方案，探索共建共享供应链数据开源体系。发挥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链主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企业引领作用，打造一批数字化供应链。建设智能工厂、绿色工厂、零碳园区。（责任单位：市发展改革委、市经信局、市科技局、市民政局、市住房城乡建设局、市交通运输局、市农业农村局、市商务局、市文体旅游局、市卫生健康委、市能源产业局、市林业局、市数据局、市中医药局）</w:t>
      </w:r>
    </w:p>
    <w:p w:rsidR="00000000" w:rsidRDefault="00465B7B">
      <w:pPr>
        <w:pStyle w:val="a3"/>
        <w:spacing w:line="578" w:lineRule="exact"/>
        <w:ind w:firstLineChars="200" w:firstLine="640"/>
        <w:jc w:val="both"/>
        <w:rPr>
          <w:rFonts w:ascii="Times New Roman"/>
          <w:bCs/>
          <w:sz w:val="32"/>
          <w:szCs w:val="32"/>
        </w:rPr>
      </w:pPr>
      <w:r>
        <w:rPr>
          <w:rFonts w:ascii="Times New Roman" w:eastAsia="楷体_GB2312"/>
          <w:bCs/>
          <w:sz w:val="32"/>
          <w:szCs w:val="32"/>
        </w:rPr>
        <w:t>（二）发挥链长牵头作用。</w:t>
      </w:r>
      <w:r>
        <w:rPr>
          <w:rFonts w:ascii="Times New Roman"/>
          <w:bCs/>
          <w:sz w:val="32"/>
          <w:szCs w:val="32"/>
        </w:rPr>
        <w:t>按照全市重点产业链</w:t>
      </w:r>
      <w:r>
        <w:rPr>
          <w:rFonts w:ascii="Times New Roman"/>
          <w:bCs/>
          <w:sz w:val="32"/>
          <w:szCs w:val="32"/>
        </w:rPr>
        <w:t>“</w:t>
      </w:r>
      <w:r>
        <w:rPr>
          <w:rFonts w:ascii="Times New Roman"/>
          <w:bCs/>
          <w:sz w:val="32"/>
          <w:szCs w:val="32"/>
        </w:rPr>
        <w:t>双链</w:t>
      </w:r>
      <w:r>
        <w:rPr>
          <w:rFonts w:ascii="Times New Roman"/>
          <w:bCs/>
          <w:sz w:val="32"/>
          <w:szCs w:val="32"/>
        </w:rPr>
        <w:t>”</w:t>
      </w:r>
      <w:r>
        <w:rPr>
          <w:rFonts w:ascii="Times New Roman"/>
          <w:bCs/>
          <w:sz w:val="32"/>
          <w:szCs w:val="32"/>
        </w:rPr>
        <w:t>工作机制，牵头市领导要发挥链长、副链长作用，不定期深入重点企业、园区实</w:t>
      </w:r>
      <w:r>
        <w:rPr>
          <w:rFonts w:ascii="Times New Roman"/>
          <w:bCs/>
          <w:sz w:val="32"/>
          <w:szCs w:val="32"/>
        </w:rPr>
        <w:t>地调研，掌握企业生产经营情况和存在问题，鼓励企业坚定信心、保持定力，增强发展后劲和韧劲，提升质量效益。每季度召开重点产业链推进会议，研究产业发展的重大事项、重要政策、重大项目，协调解决产业发展重大困难问题。（责任单位：市发展改革委、市经信局、市科技局、市民政局、市住房城乡建设局、市交通运输局、市农业农村局、市商务局、市文体旅游局、市卫生健康委、市能源产业局、市林业局、市数据局、市中医药局）</w:t>
      </w:r>
    </w:p>
    <w:p w:rsidR="00000000" w:rsidRDefault="00465B7B">
      <w:pPr>
        <w:pStyle w:val="a3"/>
        <w:spacing w:line="578" w:lineRule="exact"/>
        <w:ind w:firstLineChars="200" w:firstLine="640"/>
        <w:jc w:val="both"/>
        <w:rPr>
          <w:rFonts w:ascii="Times New Roman"/>
          <w:bCs/>
          <w:sz w:val="32"/>
          <w:szCs w:val="32"/>
        </w:rPr>
      </w:pPr>
      <w:r>
        <w:rPr>
          <w:rFonts w:ascii="Times New Roman" w:eastAsia="楷体_GB2312"/>
          <w:bCs/>
          <w:sz w:val="32"/>
          <w:szCs w:val="32"/>
        </w:rPr>
        <w:t>（三）发挥牵头部门主导作用。</w:t>
      </w:r>
      <w:r>
        <w:rPr>
          <w:rFonts w:ascii="Times New Roman"/>
          <w:bCs/>
          <w:sz w:val="32"/>
          <w:szCs w:val="32"/>
        </w:rPr>
        <w:t>各产业领域责任部门要主动作为、牵好总头，加强工作体系建设。牵头制定产业链推进行动方案和年度</w:t>
      </w:r>
      <w:r>
        <w:rPr>
          <w:rFonts w:ascii="Times New Roman"/>
          <w:bCs/>
          <w:sz w:val="32"/>
          <w:szCs w:val="32"/>
        </w:rPr>
        <w:t>工作计划，突出关键企业、关键产品、关键园区、关</w:t>
      </w:r>
      <w:r>
        <w:rPr>
          <w:rFonts w:ascii="Times New Roman"/>
          <w:bCs/>
          <w:sz w:val="32"/>
          <w:szCs w:val="32"/>
        </w:rPr>
        <w:lastRenderedPageBreak/>
        <w:t>键技术、关键团队、关键项目等</w:t>
      </w:r>
      <w:r>
        <w:rPr>
          <w:rFonts w:ascii="Times New Roman"/>
          <w:bCs/>
          <w:sz w:val="32"/>
          <w:szCs w:val="32"/>
        </w:rPr>
        <w:t>6</w:t>
      </w:r>
      <w:r>
        <w:rPr>
          <w:rFonts w:ascii="Times New Roman"/>
          <w:bCs/>
          <w:sz w:val="32"/>
          <w:szCs w:val="32"/>
        </w:rPr>
        <w:t>个</w:t>
      </w:r>
      <w:r>
        <w:rPr>
          <w:rFonts w:ascii="Times New Roman"/>
          <w:bCs/>
          <w:sz w:val="32"/>
          <w:szCs w:val="32"/>
        </w:rPr>
        <w:t>“</w:t>
      </w:r>
      <w:r>
        <w:rPr>
          <w:rFonts w:ascii="Times New Roman"/>
          <w:bCs/>
          <w:sz w:val="32"/>
          <w:szCs w:val="32"/>
        </w:rPr>
        <w:t>关键</w:t>
      </w:r>
      <w:r>
        <w:rPr>
          <w:rFonts w:ascii="Times New Roman"/>
          <w:bCs/>
          <w:sz w:val="32"/>
          <w:szCs w:val="32"/>
        </w:rPr>
        <w:t>”</w:t>
      </w:r>
      <w:r>
        <w:rPr>
          <w:rFonts w:ascii="Times New Roman"/>
          <w:bCs/>
          <w:sz w:val="32"/>
          <w:szCs w:val="32"/>
        </w:rPr>
        <w:t>。制定产业链评估实施细则。梳理产业链所涉及产业体系和门类，以及</w:t>
      </w:r>
      <w:r>
        <w:rPr>
          <w:rFonts w:ascii="Times New Roman"/>
          <w:bCs/>
          <w:sz w:val="32"/>
          <w:szCs w:val="32"/>
        </w:rPr>
        <w:t>“</w:t>
      </w:r>
      <w:r>
        <w:rPr>
          <w:rFonts w:ascii="Times New Roman"/>
          <w:bCs/>
          <w:sz w:val="32"/>
          <w:szCs w:val="32"/>
        </w:rPr>
        <w:t>链主</w:t>
      </w:r>
      <w:r>
        <w:rPr>
          <w:rFonts w:ascii="Times New Roman"/>
          <w:bCs/>
          <w:sz w:val="32"/>
          <w:szCs w:val="32"/>
        </w:rPr>
        <w:t>”</w:t>
      </w:r>
      <w:r>
        <w:rPr>
          <w:rFonts w:ascii="Times New Roman"/>
          <w:bCs/>
          <w:sz w:val="32"/>
          <w:szCs w:val="32"/>
        </w:rPr>
        <w:t>企业配套关系、供应链生态等，牵头绘制产业链全景图谱和协作需求表，提出技术路线、产业布局、企业培育、关键平台、应用场景等</w:t>
      </w:r>
      <w:r>
        <w:rPr>
          <w:rFonts w:ascii="Times New Roman"/>
          <w:bCs/>
          <w:sz w:val="32"/>
          <w:szCs w:val="32"/>
        </w:rPr>
        <w:t>“</w:t>
      </w:r>
      <w:r>
        <w:rPr>
          <w:rFonts w:ascii="Times New Roman"/>
          <w:bCs/>
          <w:sz w:val="32"/>
          <w:szCs w:val="32"/>
        </w:rPr>
        <w:t>一链</w:t>
      </w:r>
      <w:r>
        <w:rPr>
          <w:rFonts w:ascii="Times New Roman"/>
          <w:bCs/>
          <w:sz w:val="32"/>
          <w:szCs w:val="32"/>
        </w:rPr>
        <w:t>N</w:t>
      </w:r>
      <w:r>
        <w:rPr>
          <w:rFonts w:ascii="Times New Roman"/>
          <w:bCs/>
          <w:sz w:val="32"/>
          <w:szCs w:val="32"/>
        </w:rPr>
        <w:t>清单</w:t>
      </w:r>
      <w:r>
        <w:rPr>
          <w:rFonts w:ascii="Times New Roman"/>
          <w:bCs/>
          <w:sz w:val="32"/>
          <w:szCs w:val="32"/>
        </w:rPr>
        <w:t>”</w:t>
      </w:r>
      <w:r>
        <w:rPr>
          <w:rFonts w:ascii="Times New Roman"/>
          <w:bCs/>
          <w:sz w:val="32"/>
          <w:szCs w:val="32"/>
        </w:rPr>
        <w:t>，动态更新产业图谱，找准主攻方向，明晰细分赛道和工作着力点。明确主要承载地、协同发展地和市级部门（单位）的工作任务，细化工作措施，协调推动任务落地落实。建立重点项目库，谋划并滚动实施</w:t>
      </w:r>
      <w:r>
        <w:rPr>
          <w:rFonts w:ascii="Times New Roman"/>
          <w:bCs/>
          <w:sz w:val="32"/>
          <w:szCs w:val="32"/>
        </w:rPr>
        <w:t>“</w:t>
      </w:r>
      <w:r>
        <w:rPr>
          <w:rFonts w:ascii="Times New Roman"/>
          <w:bCs/>
          <w:sz w:val="32"/>
          <w:szCs w:val="32"/>
        </w:rPr>
        <w:t>有效投资、有根产业、有持续税源</w:t>
      </w:r>
      <w:r>
        <w:rPr>
          <w:rFonts w:ascii="Times New Roman"/>
          <w:bCs/>
          <w:sz w:val="32"/>
          <w:szCs w:val="32"/>
        </w:rPr>
        <w:t>”</w:t>
      </w:r>
      <w:r>
        <w:rPr>
          <w:rFonts w:ascii="Times New Roman"/>
          <w:bCs/>
          <w:sz w:val="32"/>
          <w:szCs w:val="32"/>
        </w:rPr>
        <w:t>项目，加</w:t>
      </w:r>
      <w:r>
        <w:rPr>
          <w:rFonts w:ascii="Times New Roman"/>
          <w:bCs/>
          <w:sz w:val="32"/>
          <w:szCs w:val="32"/>
        </w:rPr>
        <w:t>大增量项目招引，支持本地企业再投资，加快建设中试验证、新型技改、环保设施等项目。加强重点项目调度，开展重大项目全生命周期管理，</w:t>
      </w:r>
      <w:r>
        <w:rPr>
          <w:rFonts w:ascii="Times New Roman"/>
          <w:bCs/>
          <w:sz w:val="32"/>
          <w:szCs w:val="32"/>
        </w:rPr>
        <w:t>“</w:t>
      </w:r>
      <w:r>
        <w:rPr>
          <w:rFonts w:ascii="Times New Roman"/>
          <w:bCs/>
          <w:sz w:val="32"/>
          <w:szCs w:val="32"/>
        </w:rPr>
        <w:t>清单制</w:t>
      </w:r>
      <w:r>
        <w:rPr>
          <w:rFonts w:ascii="Times New Roman"/>
          <w:bCs/>
          <w:sz w:val="32"/>
          <w:szCs w:val="32"/>
        </w:rPr>
        <w:t>+</w:t>
      </w:r>
      <w:r>
        <w:rPr>
          <w:rFonts w:ascii="Times New Roman"/>
          <w:bCs/>
          <w:sz w:val="32"/>
          <w:szCs w:val="32"/>
        </w:rPr>
        <w:t>责任制</w:t>
      </w:r>
      <w:r>
        <w:rPr>
          <w:rFonts w:ascii="Times New Roman"/>
          <w:bCs/>
          <w:sz w:val="32"/>
          <w:szCs w:val="32"/>
        </w:rPr>
        <w:t>”</w:t>
      </w:r>
      <w:r>
        <w:rPr>
          <w:rFonts w:ascii="Times New Roman"/>
          <w:bCs/>
          <w:sz w:val="32"/>
          <w:szCs w:val="32"/>
        </w:rPr>
        <w:t>推动加快建设。会同市经济合作外事局建立招引目标企业（项目）清单，推送给主要承载地和协同发展地，协同做好招引企业（项目）落地工作。建立产业链企业梯度培育台账，激励企业</w:t>
      </w:r>
      <w:r>
        <w:rPr>
          <w:rFonts w:ascii="Times New Roman"/>
          <w:bCs/>
          <w:sz w:val="32"/>
          <w:szCs w:val="32"/>
        </w:rPr>
        <w:t>“</w:t>
      </w:r>
      <w:r>
        <w:rPr>
          <w:rFonts w:ascii="Times New Roman"/>
          <w:bCs/>
          <w:sz w:val="32"/>
          <w:szCs w:val="32"/>
        </w:rPr>
        <w:t>上规、上榜、上云、上市</w:t>
      </w:r>
      <w:r>
        <w:rPr>
          <w:rFonts w:ascii="Times New Roman"/>
          <w:bCs/>
          <w:sz w:val="32"/>
          <w:szCs w:val="32"/>
        </w:rPr>
        <w:t>”</w:t>
      </w:r>
      <w:r>
        <w:rPr>
          <w:rFonts w:ascii="Times New Roman"/>
          <w:bCs/>
          <w:sz w:val="32"/>
          <w:szCs w:val="32"/>
        </w:rPr>
        <w:t>。用好</w:t>
      </w:r>
      <w:r>
        <w:rPr>
          <w:rFonts w:ascii="Times New Roman"/>
          <w:bCs/>
          <w:sz w:val="32"/>
          <w:szCs w:val="32"/>
        </w:rPr>
        <w:t>“</w:t>
      </w:r>
      <w:r>
        <w:rPr>
          <w:rFonts w:ascii="Times New Roman"/>
          <w:bCs/>
          <w:sz w:val="32"/>
          <w:szCs w:val="32"/>
        </w:rPr>
        <w:t>企业之家</w:t>
      </w:r>
      <w:r>
        <w:rPr>
          <w:rFonts w:ascii="Times New Roman"/>
          <w:bCs/>
          <w:sz w:val="32"/>
          <w:szCs w:val="32"/>
        </w:rPr>
        <w:t>”</w:t>
      </w:r>
      <w:r>
        <w:rPr>
          <w:rFonts w:ascii="Times New Roman"/>
          <w:bCs/>
          <w:sz w:val="32"/>
          <w:szCs w:val="32"/>
        </w:rPr>
        <w:t>服务体系，动态梳理产业链发展中的困难和问题，建立问题台账并推动各级部门协调解决。县级层面无法解决的重大问题，由各牵头部门提交产业链链长、副链长及时研究解决。负责</w:t>
      </w:r>
      <w:r>
        <w:rPr>
          <w:rFonts w:ascii="Times New Roman"/>
          <w:bCs/>
          <w:sz w:val="32"/>
          <w:szCs w:val="32"/>
        </w:rPr>
        <w:t>督促落实链长、副链长有关交办事项，协调推进本实施方案各项工作。（责任单位：市发展改革委、市经信局、市科技局、市民政局、市住房城乡建设局、市交通运输局、市农业农村局、市商务局、市文体旅游局、市卫生健康委、市能源产业局、市经济合作外事局、市林业局、市数据局、市中医药局）</w:t>
      </w:r>
    </w:p>
    <w:p w:rsidR="00000000" w:rsidRDefault="00465B7B">
      <w:pPr>
        <w:pStyle w:val="2"/>
        <w:adjustRightInd w:val="0"/>
        <w:snapToGrid w:val="0"/>
        <w:spacing w:line="578" w:lineRule="exact"/>
        <w:ind w:leftChars="0" w:left="0"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Cs/>
          <w:sz w:val="32"/>
          <w:szCs w:val="32"/>
        </w:rPr>
        <w:lastRenderedPageBreak/>
        <w:t>（四）制定专项扶持政策。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围绕产业链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锻长补短建新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重点环节，结合重点产业领域发展需求制定支持产业发展专项政策。增加市级工业发展资金规模，重点用于支持产业链发展。支持范围包括但不限于：支持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链主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企业。各类要素（包括但不限于土地、人才、资金等）优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先向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链主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企业倾斜，原则上对获得省级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链主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企业给予资金支持。创新生态培育。以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揭榜挂帅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、定向委托、联合攻关等方式组织开展技术攻关，打造示范应用场景。对牵头或参与国家级和省级科技攻关任务，打通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研发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——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中试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——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产业化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创新链的本地科研单位、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链主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企业等给予资金支持。支持科研单位深入研究产业前沿趋势，围绕产业链发展提供技术路线、战略规划等咨询服务。支持产业人才集聚。加强产业链高质量发展人才需求监测，做好急需紧缺人才队伍建设。明确利益共享机制。用改革的办法完善产业主要承载地、协同发展地跨区域财税、统计等利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益共享机制。建设产业基金。加快设立市级产业投资基金，加大财金互动政策力度，引导金融机构、撬动社会资本支持产业链发展。（责任单位：市委组织部、市发展改革委、市经信局、市科技局、市民政局、市财政局、市人力资源社会保障局、市自然资源规划局、市住房城乡建设局、市交通运输局、市水务局、市农业农村局、市商务局、市文体旅游局、市卫生健康委、市能源产业局、市林业局、市数据局、市中医药局）</w:t>
      </w:r>
    </w:p>
    <w:p w:rsidR="00000000" w:rsidRDefault="00465B7B">
      <w:pPr>
        <w:pStyle w:val="a3"/>
        <w:spacing w:line="578" w:lineRule="exact"/>
        <w:ind w:firstLineChars="200" w:firstLine="640"/>
        <w:jc w:val="both"/>
        <w:rPr>
          <w:rFonts w:ascii="Times New Roman"/>
          <w:bCs/>
          <w:sz w:val="32"/>
          <w:szCs w:val="32"/>
        </w:rPr>
      </w:pPr>
      <w:r>
        <w:rPr>
          <w:rFonts w:ascii="Times New Roman" w:eastAsia="楷体_GB2312"/>
          <w:bCs/>
          <w:sz w:val="32"/>
          <w:szCs w:val="32"/>
        </w:rPr>
        <w:t>（五）定期开展产业交流活动。</w:t>
      </w:r>
      <w:r>
        <w:rPr>
          <w:rFonts w:ascii="Times New Roman"/>
          <w:bCs/>
          <w:sz w:val="32"/>
          <w:szCs w:val="32"/>
        </w:rPr>
        <w:t>各产业领域每年至少举办一场产业发展（推介）大会。依托国际、国内顶尖智库，邀请行业</w:t>
      </w:r>
      <w:r>
        <w:rPr>
          <w:rFonts w:ascii="Times New Roman"/>
          <w:bCs/>
          <w:sz w:val="32"/>
          <w:szCs w:val="32"/>
        </w:rPr>
        <w:lastRenderedPageBreak/>
        <w:t>领域专家结合达州区域资源优势</w:t>
      </w:r>
      <w:r>
        <w:rPr>
          <w:rFonts w:ascii="Times New Roman"/>
          <w:bCs/>
          <w:sz w:val="32"/>
          <w:szCs w:val="32"/>
        </w:rPr>
        <w:t>和特色，立足各产业主要承载地和协同发展地实际需求，采用辩论式圆桌会、场景化工作坊等多种模式把脉问诊，推动企业</w:t>
      </w:r>
      <w:r>
        <w:rPr>
          <w:rFonts w:ascii="Times New Roman"/>
          <w:bCs/>
          <w:sz w:val="32"/>
          <w:szCs w:val="32"/>
        </w:rPr>
        <w:t>—</w:t>
      </w:r>
      <w:r>
        <w:rPr>
          <w:rFonts w:ascii="Times New Roman"/>
          <w:bCs/>
          <w:sz w:val="32"/>
          <w:szCs w:val="32"/>
        </w:rPr>
        <w:t>院所</w:t>
      </w:r>
      <w:r>
        <w:rPr>
          <w:rFonts w:ascii="Times New Roman"/>
          <w:bCs/>
          <w:sz w:val="32"/>
          <w:szCs w:val="32"/>
        </w:rPr>
        <w:t>—</w:t>
      </w:r>
      <w:r>
        <w:rPr>
          <w:rFonts w:ascii="Times New Roman"/>
          <w:bCs/>
          <w:sz w:val="32"/>
          <w:szCs w:val="32"/>
        </w:rPr>
        <w:t>政府三方合作。定期组织开展政银企对接活动，通过融资白名单、企业路演、融资培训等方式加强银企合作。线下常态化开展供需对接活动，线上用好供需对接平台，帮助企业拓市场稳增长。（责任单位：市发展改革委、市经信局、市科技局、市民政局、市财政局、市住房城乡建设局、市交通运输局、市农业农村局、市商务局、市文体旅游局、市卫生健康委、市市场监管局、市能源产业局、市林业局、市数据局、市中医药局）</w:t>
      </w:r>
    </w:p>
    <w:p w:rsidR="00000000" w:rsidRDefault="00465B7B">
      <w:pPr>
        <w:pStyle w:val="a3"/>
        <w:spacing w:line="578" w:lineRule="exact"/>
        <w:ind w:firstLineChars="200" w:firstLine="640"/>
        <w:jc w:val="both"/>
        <w:rPr>
          <w:rFonts w:ascii="Times New Roman"/>
          <w:bCs/>
          <w:sz w:val="32"/>
          <w:szCs w:val="32"/>
        </w:rPr>
      </w:pPr>
      <w:r>
        <w:rPr>
          <w:rFonts w:ascii="Times New Roman" w:eastAsia="楷体_GB2312"/>
          <w:bCs/>
          <w:sz w:val="32"/>
          <w:szCs w:val="32"/>
        </w:rPr>
        <w:t>（六）营造良好发</w:t>
      </w:r>
      <w:r>
        <w:rPr>
          <w:rFonts w:ascii="Times New Roman" w:eastAsia="楷体_GB2312"/>
          <w:bCs/>
          <w:sz w:val="32"/>
          <w:szCs w:val="32"/>
        </w:rPr>
        <w:t>展环境。</w:t>
      </w:r>
      <w:r>
        <w:rPr>
          <w:rFonts w:ascii="Times New Roman"/>
          <w:bCs/>
          <w:sz w:val="32"/>
          <w:szCs w:val="32"/>
        </w:rPr>
        <w:t>精准配置土地资源。主要承载地、协同发展地统筹安排产业功能区空间布局。支持土地指标向重点产业链项目倾斜，优先保障重大项目用地。对工业项目用地采取长期租赁、先租后让、弹性年期出让等方式灵活供地。支持盘活存量土地和低效用地，稳步有序扩大农用地（未利用地）转用、土地征收及成片开发方案省级审批权下放范围。推进</w:t>
      </w:r>
      <w:r>
        <w:rPr>
          <w:rFonts w:ascii="Times New Roman"/>
          <w:bCs/>
          <w:sz w:val="32"/>
          <w:szCs w:val="32"/>
        </w:rPr>
        <w:t>“</w:t>
      </w:r>
      <w:r>
        <w:rPr>
          <w:rFonts w:ascii="Times New Roman"/>
          <w:bCs/>
          <w:sz w:val="32"/>
          <w:szCs w:val="32"/>
        </w:rPr>
        <w:t>智改数转</w:t>
      </w:r>
      <w:r>
        <w:rPr>
          <w:rFonts w:ascii="Times New Roman"/>
          <w:bCs/>
          <w:sz w:val="32"/>
          <w:szCs w:val="32"/>
        </w:rPr>
        <w:t>”</w:t>
      </w:r>
      <w:r>
        <w:rPr>
          <w:rFonts w:ascii="Times New Roman"/>
          <w:bCs/>
          <w:sz w:val="32"/>
          <w:szCs w:val="32"/>
        </w:rPr>
        <w:t>。梳理链上中小企业数字化转型需求，组织</w:t>
      </w:r>
      <w:r>
        <w:rPr>
          <w:rFonts w:ascii="Times New Roman"/>
          <w:bCs/>
          <w:sz w:val="32"/>
          <w:szCs w:val="32"/>
        </w:rPr>
        <w:t>“</w:t>
      </w:r>
      <w:r>
        <w:rPr>
          <w:rFonts w:ascii="Times New Roman"/>
          <w:bCs/>
          <w:sz w:val="32"/>
          <w:szCs w:val="32"/>
        </w:rPr>
        <w:t>智改数转</w:t>
      </w:r>
      <w:r>
        <w:rPr>
          <w:rFonts w:ascii="Times New Roman"/>
          <w:bCs/>
          <w:sz w:val="32"/>
          <w:szCs w:val="32"/>
        </w:rPr>
        <w:t>”</w:t>
      </w:r>
      <w:r>
        <w:rPr>
          <w:rFonts w:ascii="Times New Roman"/>
          <w:bCs/>
          <w:sz w:val="32"/>
          <w:szCs w:val="32"/>
        </w:rPr>
        <w:t>诊断评估，推动开展协同采购、协同制造等。落实惠企政策。各产业链牵头部门加强政企、政社协同联动，推动惠企政策直达快享，帮助企业降低生产经营成本。</w:t>
      </w:r>
      <w:r>
        <w:rPr>
          <w:rFonts w:ascii="Times New Roman"/>
          <w:bCs/>
          <w:sz w:val="32"/>
          <w:szCs w:val="32"/>
        </w:rPr>
        <w:t>保护合法权益。推动开展违规设置市场准入门槛、拖欠企业账款、侵害企业产权和企业家合法权益等专项治理，保护企业家合法权益。深入挖掘典型案例，总结提</w:t>
      </w:r>
      <w:r>
        <w:rPr>
          <w:rFonts w:ascii="Times New Roman"/>
          <w:bCs/>
          <w:sz w:val="32"/>
          <w:szCs w:val="32"/>
        </w:rPr>
        <w:lastRenderedPageBreak/>
        <w:t>炼发展经验，形成良好发展氛围</w:t>
      </w:r>
      <w:r>
        <w:rPr>
          <w:rFonts w:ascii="Times New Roman"/>
          <w:bCs/>
          <w:sz w:val="32"/>
          <w:szCs w:val="32"/>
        </w:rPr>
        <w:t>。〔责任单位：市发展改革委、市经信局、市科技局、市民政局、市财政局、市自然资源规划局、市住房城乡建设局、市交通运输局、市农业农村局、市商务局、市文体旅游局、市卫生健康委、市市场监管局、市能源产业局、市林业局、市数据局、市中医药局，各县（市、区）人民政府、达州高新区管委会、达州东部经开区管委会〕</w:t>
      </w:r>
    </w:p>
    <w:p w:rsidR="00000000" w:rsidRDefault="00465B7B">
      <w:pPr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Cs/>
          <w:sz w:val="32"/>
          <w:szCs w:val="32"/>
        </w:rPr>
        <w:t>（七）实施全域协同推进。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发挥市融圈强链办统筹作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用。市经济和信息化局承担全市重点产业链协同推进机制办公室职能（以下简称市融圈强链办），统筹负责综合协调、信息共享、监测评估等工作；会同市统计局建立产业链评价指数体系，制定产业链发展成效评估办法；每年对发展成效显著的产业链适时进行表扬，对推进不力的进行通报批评。发挥主要承载地优势。主要承载地政府要完善工作机制，负责企业引育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四链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（产业链、创新链、资金链、人才链）融合、项目建设、要素保障等具体任务落地落实。发挥协同发展地配套作用。协同发展地要主动对接主要承载地，从空间、要素、制度等方面着手，做好主要承载地产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业配套。</w:t>
      </w:r>
    </w:p>
    <w:p w:rsidR="00000000" w:rsidRDefault="00465B7B">
      <w:pPr>
        <w:adjustRightInd w:val="0"/>
        <w:snapToGrid w:val="0"/>
        <w:spacing w:line="578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三、工作要求</w:t>
      </w:r>
    </w:p>
    <w:p w:rsidR="00000000" w:rsidRDefault="00465B7B">
      <w:pPr>
        <w:pStyle w:val="a4"/>
        <w:suppressLineNumbers w:val="0"/>
        <w:suppressAutoHyphens w:val="0"/>
        <w:adjustRightInd w:val="0"/>
        <w:snapToGrid w:val="0"/>
        <w:spacing w:before="0" w:after="0" w:line="578" w:lineRule="exact"/>
        <w:ind w:firstLineChars="200" w:firstLine="640"/>
        <w:rPr>
          <w:rFonts w:ascii="Times New Roman" w:eastAsia="仿宋_GB2312" w:hAnsi="Times New Roman" w:cs="Times New Roman"/>
          <w:bCs/>
          <w:i w:val="0"/>
          <w:iCs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i w:val="0"/>
          <w:iCs w:val="0"/>
          <w:sz w:val="32"/>
          <w:szCs w:val="32"/>
        </w:rPr>
        <w:t>各地各部门（单位）要高度重视全市重点产业融圈强链工作，秉持全市</w:t>
      </w:r>
      <w:r>
        <w:rPr>
          <w:rFonts w:ascii="Times New Roman" w:eastAsia="仿宋_GB2312" w:hAnsi="Times New Roman" w:cs="Times New Roman"/>
          <w:bCs/>
          <w:i w:val="0"/>
          <w:iCs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i w:val="0"/>
          <w:iCs w:val="0"/>
          <w:sz w:val="32"/>
          <w:szCs w:val="32"/>
        </w:rPr>
        <w:t>一盘棋</w:t>
      </w:r>
      <w:r>
        <w:rPr>
          <w:rFonts w:ascii="Times New Roman" w:eastAsia="仿宋_GB2312" w:hAnsi="Times New Roman" w:cs="Times New Roman"/>
          <w:bCs/>
          <w:i w:val="0"/>
          <w:iCs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i w:val="0"/>
          <w:iCs w:val="0"/>
          <w:sz w:val="32"/>
          <w:szCs w:val="32"/>
        </w:rPr>
        <w:t>理念，强化部门与部门、部门与地方沟通协作，各司其职，协同推进产业发展。要注重工作实效，避免</w:t>
      </w:r>
      <w:r>
        <w:rPr>
          <w:rFonts w:ascii="Times New Roman" w:eastAsia="仿宋_GB2312" w:hAnsi="Times New Roman" w:cs="Times New Roman"/>
          <w:bCs/>
          <w:i w:val="0"/>
          <w:iCs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i w:val="0"/>
          <w:iCs w:val="0"/>
          <w:sz w:val="32"/>
          <w:szCs w:val="32"/>
        </w:rPr>
        <w:t>会议重视</w:t>
      </w:r>
      <w:r>
        <w:rPr>
          <w:rFonts w:ascii="Times New Roman" w:eastAsia="仿宋_GB2312" w:hAnsi="Times New Roman" w:cs="Times New Roman"/>
          <w:bCs/>
          <w:i w:val="0"/>
          <w:iCs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i w:val="0"/>
          <w:iCs w:val="0"/>
          <w:sz w:val="32"/>
          <w:szCs w:val="32"/>
        </w:rPr>
        <w:t>陷阱，深入企业、深入产业加强调研，切实解决发展难题。</w:t>
      </w:r>
      <w:r>
        <w:rPr>
          <w:rFonts w:ascii="Times New Roman" w:eastAsia="仿宋_GB2312" w:hAnsi="Times New Roman" w:cs="Times New Roman"/>
          <w:bCs/>
          <w:i w:val="0"/>
          <w:iCs w:val="0"/>
          <w:sz w:val="32"/>
          <w:szCs w:val="32"/>
        </w:rPr>
        <w:lastRenderedPageBreak/>
        <w:t>市融圈强链办要发挥牵头统筹作用，构建科学、合理的评估指标体系，充分反映各地各部门（单位）抓产业发展的成效。</w:t>
      </w:r>
    </w:p>
    <w:p w:rsidR="00000000" w:rsidRDefault="00465B7B">
      <w:pPr>
        <w:spacing w:line="578" w:lineRule="exac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000000" w:rsidRDefault="00465B7B">
      <w:pPr>
        <w:spacing w:line="578" w:lineRule="exac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000000" w:rsidRDefault="00465B7B">
      <w:pPr>
        <w:spacing w:line="578" w:lineRule="exac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000000" w:rsidRDefault="00465B7B">
      <w:pPr>
        <w:spacing w:line="578" w:lineRule="exac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000000" w:rsidRDefault="00465B7B">
      <w:pPr>
        <w:spacing w:line="578" w:lineRule="exac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000000" w:rsidRDefault="00465B7B">
      <w:pPr>
        <w:spacing w:line="578" w:lineRule="exac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000000" w:rsidRDefault="00465B7B">
      <w:pPr>
        <w:spacing w:line="578" w:lineRule="exac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000000" w:rsidRDefault="00465B7B">
      <w:pPr>
        <w:spacing w:line="578" w:lineRule="exac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000000" w:rsidRDefault="00465B7B">
      <w:pPr>
        <w:spacing w:line="578" w:lineRule="exac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000000" w:rsidRDefault="00465B7B">
      <w:pPr>
        <w:spacing w:line="578" w:lineRule="exac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000000" w:rsidRDefault="00465B7B">
      <w:pPr>
        <w:spacing w:line="578" w:lineRule="exac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000000" w:rsidRDefault="00465B7B">
      <w:pPr>
        <w:spacing w:line="578" w:lineRule="exac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000000" w:rsidRDefault="00465B7B">
      <w:pPr>
        <w:spacing w:line="578" w:lineRule="exac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000000" w:rsidRDefault="00465B7B">
      <w:pPr>
        <w:spacing w:line="578" w:lineRule="exac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000000" w:rsidRDefault="00465B7B">
      <w:pPr>
        <w:pStyle w:val="Default"/>
        <w:spacing w:line="240" w:lineRule="exact"/>
        <w:rPr>
          <w:b/>
          <w:bCs/>
        </w:rPr>
      </w:pPr>
    </w:p>
    <w:p w:rsidR="00000000" w:rsidRDefault="00465B7B">
      <w:pPr>
        <w:pStyle w:val="Default"/>
        <w:rPr>
          <w:b/>
          <w:bCs/>
        </w:rPr>
      </w:pPr>
    </w:p>
    <w:p w:rsidR="00000000" w:rsidRDefault="00465B7B">
      <w:pPr>
        <w:pStyle w:val="Default"/>
        <w:rPr>
          <w:b/>
          <w:bCs/>
        </w:rPr>
      </w:pPr>
    </w:p>
    <w:p w:rsidR="00000000" w:rsidRDefault="00465B7B">
      <w:pPr>
        <w:pStyle w:val="Default"/>
        <w:spacing w:line="340" w:lineRule="exact"/>
        <w:rPr>
          <w:rFonts w:hint="eastAsia"/>
          <w:b/>
          <w:bCs/>
        </w:rPr>
      </w:pPr>
    </w:p>
    <w:p w:rsidR="00000000" w:rsidRDefault="00465B7B">
      <w:pPr>
        <w:pStyle w:val="Default"/>
        <w:spacing w:line="480" w:lineRule="exact"/>
        <w:rPr>
          <w:rFonts w:hint="eastAsia"/>
          <w:b/>
          <w:bCs/>
        </w:rPr>
      </w:pPr>
    </w:p>
    <w:p w:rsidR="00465B7B" w:rsidRDefault="00465B7B">
      <w:pPr>
        <w:spacing w:line="20" w:lineRule="exact"/>
        <w:rPr>
          <w:rFonts w:ascii="Times New Roman" w:hAnsi="Times New Roman" w:cs="Times New Roman"/>
          <w:snapToGrid w:val="0"/>
          <w:kern w:val="0"/>
        </w:rPr>
      </w:pPr>
    </w:p>
    <w:sectPr w:rsidR="00465B7B">
      <w:footerReference w:type="even" r:id="rId6"/>
      <w:footerReference w:type="default" r:id="rId7"/>
      <w:pgSz w:w="11906" w:h="16838"/>
      <w:pgMar w:top="2098" w:right="1474" w:bottom="1984" w:left="1587" w:header="851" w:footer="170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B7B" w:rsidRDefault="00465B7B">
      <w:r>
        <w:separator/>
      </w:r>
    </w:p>
  </w:endnote>
  <w:endnote w:type="continuationSeparator" w:id="0">
    <w:p w:rsidR="00465B7B" w:rsidRDefault="0046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65B7B">
    <w:pPr>
      <w:pStyle w:val="a7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00000" w:rsidRDefault="00465B7B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65B7B">
    <w:pPr>
      <w:pStyle w:val="a7"/>
      <w:framePr w:wrap="around" w:vAnchor="text" w:hAnchor="margin" w:xAlign="outside" w:y="1"/>
      <w:ind w:leftChars="100" w:left="210" w:rightChars="100" w:right="210"/>
      <w:rPr>
        <w:rStyle w:val="ab"/>
        <w:rFonts w:ascii="宋体" w:hAnsi="宋体"/>
        <w:sz w:val="28"/>
        <w:szCs w:val="28"/>
      </w:rPr>
    </w:pPr>
    <w:r>
      <w:rPr>
        <w:rStyle w:val="ab"/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>
      <w:rPr>
        <w:rStyle w:val="ab"/>
        <w:rFonts w:ascii="宋体" w:hAnsi="宋体"/>
        <w:sz w:val="28"/>
        <w:szCs w:val="28"/>
      </w:rPr>
      <w:fldChar w:fldCharType="separate"/>
    </w:r>
    <w:r w:rsidR="00E47533">
      <w:rPr>
        <w:rStyle w:val="ab"/>
        <w:rFonts w:ascii="宋体" w:hAnsi="宋体"/>
        <w:noProof/>
        <w:sz w:val="28"/>
        <w:szCs w:val="28"/>
      </w:rPr>
      <w:t>- 7 -</w:t>
    </w:r>
    <w:r>
      <w:rPr>
        <w:rStyle w:val="ab"/>
        <w:rFonts w:ascii="宋体" w:hAnsi="宋体"/>
        <w:sz w:val="28"/>
        <w:szCs w:val="28"/>
      </w:rPr>
      <w:fldChar w:fldCharType="end"/>
    </w:r>
  </w:p>
  <w:p w:rsidR="00000000" w:rsidRDefault="00465B7B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B7B" w:rsidRDefault="00465B7B">
      <w:r>
        <w:separator/>
      </w:r>
    </w:p>
  </w:footnote>
  <w:footnote w:type="continuationSeparator" w:id="0">
    <w:p w:rsidR="00465B7B" w:rsidRDefault="00465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38"/>
    <w:rsid w:val="00130F38"/>
    <w:rsid w:val="003642CA"/>
    <w:rsid w:val="00465B7B"/>
    <w:rsid w:val="004F6248"/>
    <w:rsid w:val="00887992"/>
    <w:rsid w:val="008C0837"/>
    <w:rsid w:val="00E1164A"/>
    <w:rsid w:val="00E47533"/>
    <w:rsid w:val="00E87D17"/>
    <w:rsid w:val="09ED576F"/>
    <w:rsid w:val="1DDFD6F4"/>
    <w:rsid w:val="1F6D9BB5"/>
    <w:rsid w:val="2F7EE4B0"/>
    <w:rsid w:val="2FDED09D"/>
    <w:rsid w:val="37E58A73"/>
    <w:rsid w:val="3AFF40CC"/>
    <w:rsid w:val="3D552D9A"/>
    <w:rsid w:val="3FBFD235"/>
    <w:rsid w:val="3FDF51C9"/>
    <w:rsid w:val="4E1F6C0A"/>
    <w:rsid w:val="4EBFAE95"/>
    <w:rsid w:val="5FC78B45"/>
    <w:rsid w:val="6D75EE7B"/>
    <w:rsid w:val="6E3F1BAF"/>
    <w:rsid w:val="6FFF95D1"/>
    <w:rsid w:val="777FAC77"/>
    <w:rsid w:val="7AFE5D8C"/>
    <w:rsid w:val="7BBFD7F8"/>
    <w:rsid w:val="7D7380C9"/>
    <w:rsid w:val="7DC44E59"/>
    <w:rsid w:val="7F9C071C"/>
    <w:rsid w:val="7FBDE6D1"/>
    <w:rsid w:val="9F3F18A3"/>
    <w:rsid w:val="B37E11CF"/>
    <w:rsid w:val="BDFE393E"/>
    <w:rsid w:val="BEFF65E9"/>
    <w:rsid w:val="BF5F37FE"/>
    <w:rsid w:val="BFCAB982"/>
    <w:rsid w:val="D57BA0B0"/>
    <w:rsid w:val="E8FF4A58"/>
    <w:rsid w:val="F17AF18C"/>
    <w:rsid w:val="F7DFE8B9"/>
    <w:rsid w:val="FE7F6CF6"/>
    <w:rsid w:val="FEFE252E"/>
    <w:rsid w:val="FFD73896"/>
    <w:rsid w:val="FFDFEB00"/>
    <w:rsid w:val="FFE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3939979F-3A04-4681-8A0D-A4EFFAA5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toc 2" w:qFormat="1"/>
    <w:lsdException w:name="toc 5" w:qFormat="1"/>
    <w:lsdException w:name="Normal Indent" w:qFormat="1"/>
    <w:lsdException w:name="header" w:qFormat="1"/>
    <w:lsdException w:name="footer" w:qFormat="1"/>
    <w:lsdException w:name="caption" w:qFormat="1"/>
    <w:lsdException w:name="pag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600" w:lineRule="exact"/>
      <w:jc w:val="center"/>
      <w:outlineLvl w:val="0"/>
    </w:pPr>
    <w:rPr>
      <w:rFonts w:eastAsia="方正小标宋_GBK"/>
      <w:sz w:val="44"/>
      <w:szCs w:val="44"/>
    </w:rPr>
  </w:style>
  <w:style w:type="character" w:default="1" w:styleId="a0">
    <w:name w:val="Default Paragraph Font"/>
    <w:link w:val="Char"/>
    <w:qFormat/>
  </w:style>
  <w:style w:type="table" w:default="1" w:styleId="a1">
    <w:name w:val="Normal Table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4"/>
    <w:qFormat/>
    <w:pPr>
      <w:adjustRightInd w:val="0"/>
      <w:snapToGrid w:val="0"/>
      <w:spacing w:line="520" w:lineRule="exact"/>
      <w:ind w:firstLine="561"/>
      <w:jc w:val="left"/>
    </w:pPr>
    <w:rPr>
      <w:rFonts w:ascii="仿宋_GB2312" w:eastAsia="仿宋_GB2312" w:hAnsi="Times New Roman" w:cs="Times New Roman"/>
      <w:sz w:val="28"/>
      <w:szCs w:val="20"/>
    </w:rPr>
  </w:style>
  <w:style w:type="paragraph" w:styleId="a4">
    <w:name w:val="caption"/>
    <w:basedOn w:val="a"/>
    <w:next w:val="a"/>
    <w:qFormat/>
    <w:pPr>
      <w:suppressLineNumbers/>
      <w:suppressAutoHyphens/>
      <w:spacing w:before="120" w:after="120"/>
    </w:pPr>
    <w:rPr>
      <w:i/>
      <w:iCs/>
      <w:sz w:val="24"/>
    </w:rPr>
  </w:style>
  <w:style w:type="paragraph" w:styleId="5">
    <w:name w:val="index 5"/>
    <w:basedOn w:val="a"/>
    <w:next w:val="a"/>
    <w:qFormat/>
    <w:pPr>
      <w:ind w:left="1680"/>
      <w:jc w:val="center"/>
    </w:pPr>
    <w:rPr>
      <w:rFonts w:ascii="方正黑体_GBK" w:eastAsia="方正黑体_GBK"/>
      <w:sz w:val="44"/>
      <w:szCs w:val="44"/>
    </w:rPr>
  </w:style>
  <w:style w:type="paragraph" w:styleId="a5">
    <w:name w:val="Salutation"/>
    <w:basedOn w:val="a"/>
    <w:next w:val="a"/>
    <w:qFormat/>
  </w:style>
  <w:style w:type="paragraph" w:styleId="a6">
    <w:name w:val="Body Text"/>
    <w:basedOn w:val="a"/>
    <w:next w:val="50"/>
    <w:qFormat/>
    <w:pPr>
      <w:spacing w:after="140" w:line="276" w:lineRule="auto"/>
    </w:pPr>
  </w:style>
  <w:style w:type="paragraph" w:styleId="50">
    <w:name w:val="toc 5"/>
    <w:basedOn w:val="a"/>
    <w:next w:val="a"/>
    <w:qFormat/>
    <w:pPr>
      <w:suppressAutoHyphens/>
      <w:ind w:leftChars="800" w:left="1680"/>
    </w:pPr>
    <w:rPr>
      <w:rFonts w:ascii="Times New Roman" w:eastAsia="方正仿宋_GBK" w:hAnsi="Times New Roman" w:cs="Times New Roman"/>
      <w:sz w:val="32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1"/>
    <w:link w:val="a0"/>
    <w:pPr>
      <w:keepNext/>
      <w:keepLines/>
      <w:snapToGrid w:val="0"/>
      <w:spacing w:before="240" w:after="240" w:line="348" w:lineRule="auto"/>
      <w:jc w:val="both"/>
    </w:pPr>
    <w:rPr>
      <w:rFonts w:ascii="Tahoma" w:eastAsia="宋体" w:hAnsi="Tahoma" w:cs="Times New Roman"/>
      <w:b/>
      <w:sz w:val="24"/>
      <w:szCs w:val="20"/>
    </w:rPr>
  </w:style>
  <w:style w:type="character" w:styleId="ab">
    <w:name w:val="page number"/>
    <w:basedOn w:val="a0"/>
    <w:qFormat/>
    <w:rPr>
      <w:rFonts w:ascii="Times New Roman" w:eastAsia="宋体" w:hAnsi="Times New Roman" w:cs="Times New Roman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526</Words>
  <Characters>3001</Characters>
  <Application>Microsoft Office Word</Application>
  <DocSecurity>0</DocSecurity>
  <Lines>25</Lines>
  <Paragraphs>7</Paragraphs>
  <ScaleCrop>false</ScaleCrop>
  <Company>达州市新印文数码科技发展有限公司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晴天</dc:creator>
  <cp:keywords/>
  <cp:lastModifiedBy>市经信局</cp:lastModifiedBy>
  <cp:revision>2</cp:revision>
  <cp:lastPrinted>2025-05-16T01:31:00Z</cp:lastPrinted>
  <dcterms:created xsi:type="dcterms:W3CDTF">2025-05-28T01:38:00Z</dcterms:created>
  <dcterms:modified xsi:type="dcterms:W3CDTF">2025-05-28T01:38:00Z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8C0359329F604DE58E6A8BA21BC2DEBB_13</vt:lpwstr>
  </property>
  <property fmtid="{D5CDD505-2E9C-101B-9397-08002B2CF9AE}" pid="4" name="KSOTemplateDocerSaveRecord">
    <vt:lpwstr>eyJoZGlkIjoiMjU1ZjE2NjBhNTRjMjRkN2UzYTQ0NTFjNjc3ZWYzNDEiLCJ1c2VySWQiOiIxOTIyODI1NjcifQ==</vt:lpwstr>
  </property>
</Properties>
</file>