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8" w:lineRule="exact"/>
        <w:rPr>
          <w:rFonts w:hint="default" w:ascii="Times New Roman" w:hAnsi="Times New Roman" w:eastAsia="黑体" w:cs="Times New Roman"/>
          <w:b w:val="0"/>
          <w:bCs w:val="0"/>
          <w:color w:val="auto"/>
          <w:kern w:val="0"/>
          <w:sz w:val="32"/>
          <w:szCs w:val="32"/>
          <w:lang w:bidi="ar"/>
        </w:rPr>
      </w:pPr>
      <w:r>
        <w:rPr>
          <w:rFonts w:hint="default" w:ascii="Times New Roman" w:hAnsi="Times New Roman" w:eastAsia="黑体" w:cs="Times New Roman"/>
          <w:b w:val="0"/>
          <w:bCs w:val="0"/>
          <w:color w:val="auto"/>
          <w:kern w:val="0"/>
          <w:sz w:val="32"/>
          <w:szCs w:val="32"/>
          <w:lang w:bidi="ar"/>
        </w:rPr>
        <w:t>附件</w:t>
      </w:r>
    </w:p>
    <w:p>
      <w:pPr>
        <w:keepNext w:val="0"/>
        <w:keepLines w:val="0"/>
        <w:pageBreakBefore w:val="0"/>
        <w:kinsoku/>
        <w:wordWrap/>
        <w:overflowPunct/>
        <w:topLinePunct w:val="0"/>
        <w:autoSpaceDE/>
        <w:autoSpaceDN/>
        <w:bidi w:val="0"/>
        <w:adjustRightInd w:val="0"/>
        <w:snapToGrid w:val="0"/>
        <w:spacing w:line="578" w:lineRule="exact"/>
        <w:textAlignment w:val="auto"/>
        <w:rPr>
          <w:rFonts w:hint="default" w:ascii="Times New Roman" w:hAnsi="Times New Roman" w:eastAsia="仿宋_GB2312" w:cs="Times New Roman"/>
          <w:b w:val="0"/>
          <w:bCs w:val="0"/>
          <w:color w:val="auto"/>
          <w:sz w:val="32"/>
          <w:szCs w:val="32"/>
          <w:u w:val="none"/>
          <w:lang w:val="en-US"/>
        </w:rPr>
      </w:pPr>
      <w:r>
        <w:rPr>
          <w:rFonts w:hint="default" w:ascii="Times New Roman" w:hAnsi="Times New Roman" w:eastAsia="仿宋_GB2312" w:cs="Times New Roman"/>
          <w:b w:val="0"/>
          <w:bCs w:val="0"/>
          <w:color w:val="auto"/>
          <w:sz w:val="32"/>
          <w:szCs w:val="32"/>
          <w:u w:val="none"/>
        </w:rPr>
        <mc:AlternateContent>
          <mc:Choice Requires="wps">
            <w:drawing>
              <wp:anchor distT="0" distB="0" distL="114300" distR="114300" simplePos="0" relativeHeight="251659264" behindDoc="0" locked="0" layoutInCell="1" allowOverlap="1">
                <wp:simplePos x="0" y="0"/>
                <wp:positionH relativeFrom="column">
                  <wp:posOffset>153670</wp:posOffset>
                </wp:positionH>
                <wp:positionV relativeFrom="paragraph">
                  <wp:posOffset>176530</wp:posOffset>
                </wp:positionV>
                <wp:extent cx="561594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25400">
                          <a:noFill/>
                        </a:ln>
                      </wps:spPr>
                      <wps:bodyPr upright="1"/>
                    </wps:wsp>
                  </a:graphicData>
                </a:graphic>
              </wp:anchor>
            </w:drawing>
          </mc:Choice>
          <mc:Fallback>
            <w:pict>
              <v:line id="_x0000_s1026" o:spid="_x0000_s1026" o:spt="20" style="position:absolute;left:0pt;margin-left:12.1pt;margin-top:13.9pt;height:0pt;width:442.2pt;z-index:251659264;mso-width-relative:page;mso-height-relative:page;" filled="f" stroked="f" coordsize="21600,21600" o:gfxdata="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">
                <v:fill on="f" focussize="0,0"/>
                <v:stroke on="f" weight="2pt"/>
                <v:imagedata o:title=""/>
                <o:lock v:ext="edit" aspectratio="f"/>
              </v:line>
            </w:pict>
          </mc:Fallback>
        </mc:AlternateContent>
      </w:r>
      <w:r>
        <w:rPr>
          <w:rFonts w:hint="default" w:ascii="Times New Roman" w:hAnsi="Times New Roman" w:eastAsia="仿宋_GB2312" w:cs="Times New Roman"/>
          <w:b w:val="0"/>
          <w:bCs w:val="0"/>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w:t>
      </w:r>
      <w:r>
        <w:rPr>
          <w:rFonts w:hint="default" w:ascii="Times New Roman" w:hAnsi="Times New Roman" w:eastAsia="方正小标宋简体" w:cs="Times New Roman"/>
          <w:sz w:val="44"/>
          <w:szCs w:val="44"/>
          <w:lang w:val="en-US" w:eastAsia="zh-CN"/>
        </w:rPr>
        <w:t>调整职工基本医疗保险门诊</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统筹</w:t>
      </w:r>
      <w:r>
        <w:rPr>
          <w:rFonts w:hint="eastAsia" w:ascii="Times New Roman" w:hAnsi="Times New Roman" w:eastAsia="方正小标宋简体" w:cs="Times New Roman"/>
          <w:sz w:val="44"/>
          <w:szCs w:val="44"/>
          <w:lang w:val="en-US" w:eastAsia="zh-CN"/>
        </w:rPr>
        <w:t>年度</w:t>
      </w:r>
      <w:bookmarkStart w:id="0" w:name="_GoBack"/>
      <w:bookmarkEnd w:id="0"/>
      <w:r>
        <w:rPr>
          <w:rFonts w:hint="eastAsia" w:ascii="Times New Roman" w:hAnsi="Times New Roman" w:eastAsia="方正小标宋简体" w:cs="Times New Roman"/>
          <w:sz w:val="44"/>
          <w:szCs w:val="44"/>
          <w:lang w:val="en-US" w:eastAsia="zh-CN"/>
        </w:rPr>
        <w:t>限额</w:t>
      </w:r>
      <w:r>
        <w:rPr>
          <w:rFonts w:hint="default" w:ascii="Times New Roman" w:hAnsi="Times New Roman" w:eastAsia="方正小标宋简体" w:cs="Times New Roman"/>
          <w:sz w:val="44"/>
          <w:szCs w:val="44"/>
        </w:rPr>
        <w:t>的通知</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楷体_GB2312" w:hAnsi="方正楷体_GB2312" w:eastAsia="方正楷体_GB2312" w:cs="方正楷体_GB2312"/>
          <w:sz w:val="32"/>
          <w:szCs w:val="32"/>
          <w:lang w:eastAsia="zh-CN"/>
        </w:rPr>
      </w:pPr>
      <w:r>
        <w:rPr>
          <w:rFonts w:hint="eastAsia" w:ascii="方正楷体_GB2312" w:hAnsi="方正楷体_GB2312" w:eastAsia="方正楷体_GB2312" w:cs="方正楷体_GB2312"/>
          <w:sz w:val="32"/>
          <w:szCs w:val="32"/>
          <w:lang w:eastAsia="zh-CN"/>
        </w:rPr>
        <w:t>（</w:t>
      </w:r>
      <w:r>
        <w:rPr>
          <w:rFonts w:hint="eastAsia" w:ascii="方正楷体_GB2312" w:hAnsi="方正楷体_GB2312" w:eastAsia="方正楷体_GB2312" w:cs="方正楷体_GB2312"/>
          <w:sz w:val="32"/>
          <w:szCs w:val="32"/>
          <w:lang w:val="en-US" w:eastAsia="zh-CN"/>
        </w:rPr>
        <w:t>征求意见稿</w:t>
      </w:r>
      <w:r>
        <w:rPr>
          <w:rFonts w:hint="eastAsia" w:ascii="方正楷体_GB2312" w:hAnsi="方正楷体_GB2312" w:eastAsia="方正楷体_GB2312" w:cs="方正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cs="Times New Roman"/>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w:t>
      </w:r>
      <w:r>
        <w:rPr>
          <w:rFonts w:hint="eastAsia" w:ascii="Times New Roman" w:hAnsi="Times New Roman" w:eastAsia="仿宋_GB2312" w:cs="Times New Roman"/>
          <w:sz w:val="32"/>
          <w:szCs w:val="32"/>
          <w:lang w:val="en-US" w:eastAsia="zh-CN"/>
        </w:rPr>
        <w:t>进一步</w:t>
      </w:r>
      <w:r>
        <w:rPr>
          <w:rFonts w:hint="default" w:ascii="Times New Roman" w:hAnsi="Times New Roman" w:eastAsia="仿宋_GB2312" w:cs="Times New Roman"/>
          <w:sz w:val="32"/>
          <w:szCs w:val="32"/>
        </w:rPr>
        <w:t>健全职工基本医疗保险门诊共济保障机制，切实减轻</w:t>
      </w:r>
      <w:r>
        <w:rPr>
          <w:rFonts w:hint="eastAsia" w:ascii="Times New Roman" w:hAnsi="Times New Roman" w:eastAsia="仿宋_GB2312" w:cs="Times New Roman"/>
          <w:sz w:val="32"/>
          <w:szCs w:val="32"/>
          <w:lang w:val="en-US" w:eastAsia="zh-CN"/>
        </w:rPr>
        <w:t>参保</w:t>
      </w:r>
      <w:r>
        <w:rPr>
          <w:rFonts w:hint="default" w:ascii="Times New Roman" w:hAnsi="Times New Roman" w:eastAsia="仿宋_GB2312" w:cs="Times New Roman"/>
          <w:sz w:val="32"/>
          <w:szCs w:val="32"/>
        </w:rPr>
        <w:t>职工门诊医疗费用负担，根据《四川省人民政府办公厅关于印发四川省建立健全职工基本医疗保险门诊共济保障机制实施办法的通知》（川办发〔2021〕85 号）</w:t>
      </w:r>
      <w:r>
        <w:rPr>
          <w:rFonts w:hint="default" w:ascii="Times New Roman" w:hAnsi="Times New Roman" w:eastAsia="仿宋_GB2312" w:cs="Times New Roman"/>
          <w:spacing w:val="4"/>
          <w:sz w:val="32"/>
          <w:szCs w:val="32"/>
        </w:rPr>
        <w:t>《达州市人民政府办公室关于印发达州市职工基本医疗保险门诊共济保障机制实施细则的通知》</w:t>
      </w:r>
      <w:r>
        <w:rPr>
          <w:rFonts w:hint="default"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4"/>
          <w:sz w:val="32"/>
          <w:szCs w:val="32"/>
          <w:lang w:val="en-US" w:eastAsia="zh-CN"/>
        </w:rPr>
        <w:t>达市府办规</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号</w:t>
      </w:r>
      <w:r>
        <w:rPr>
          <w:rFonts w:hint="default"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4"/>
          <w:sz w:val="32"/>
          <w:szCs w:val="32"/>
          <w:lang w:val="en-US" w:eastAsia="zh-CN"/>
        </w:rPr>
        <w:t>等</w:t>
      </w:r>
      <w:r>
        <w:rPr>
          <w:rFonts w:hint="default" w:ascii="Times New Roman" w:hAnsi="Times New Roman" w:eastAsia="仿宋_GB2312" w:cs="Times New Roman"/>
          <w:sz w:val="32"/>
          <w:szCs w:val="32"/>
        </w:rPr>
        <w:t>文件精神，结合达州实际，现</w:t>
      </w:r>
      <w:r>
        <w:rPr>
          <w:rFonts w:hint="default" w:ascii="Times New Roman" w:hAnsi="Times New Roman" w:eastAsia="仿宋_GB2312" w:cs="Times New Roman"/>
          <w:sz w:val="32"/>
          <w:szCs w:val="32"/>
          <w:lang w:val="en-US" w:eastAsia="zh-CN"/>
        </w:rPr>
        <w:t>调整</w:t>
      </w:r>
      <w:r>
        <w:rPr>
          <w:rFonts w:hint="eastAsia" w:ascii="Times New Roman" w:hAnsi="Times New Roman" w:eastAsia="仿宋_GB2312" w:cs="Times New Roman"/>
          <w:sz w:val="32"/>
          <w:szCs w:val="32"/>
          <w:lang w:val="en-US" w:eastAsia="zh-CN"/>
        </w:rPr>
        <w:t>达州市</w:t>
      </w:r>
      <w:r>
        <w:rPr>
          <w:rFonts w:hint="default" w:ascii="Times New Roman" w:hAnsi="Times New Roman" w:eastAsia="仿宋_GB2312" w:cs="Times New Roman"/>
          <w:sz w:val="32"/>
          <w:szCs w:val="32"/>
          <w:lang w:val="en-US" w:eastAsia="zh-CN"/>
        </w:rPr>
        <w:t>职工</w:t>
      </w:r>
      <w:r>
        <w:rPr>
          <w:rFonts w:hint="default" w:ascii="Times New Roman" w:hAnsi="Times New Roman" w:eastAsia="仿宋_GB2312" w:cs="Times New Roman"/>
          <w:sz w:val="32"/>
          <w:szCs w:val="32"/>
        </w:rPr>
        <w:t>基本医疗保险</w:t>
      </w:r>
      <w:r>
        <w:rPr>
          <w:rFonts w:hint="eastAsia" w:ascii="Times New Roman" w:hAnsi="Times New Roman" w:eastAsia="仿宋_GB2312" w:cs="Times New Roman"/>
          <w:sz w:val="32"/>
          <w:szCs w:val="32"/>
          <w:lang w:eastAsia="zh-CN"/>
        </w:rPr>
        <w:t>门诊统筹年度限额</w:t>
      </w:r>
      <w:r>
        <w:rPr>
          <w:rFonts w:hint="default" w:ascii="Times New Roman" w:hAnsi="Times New Roman" w:eastAsia="仿宋_GB2312" w:cs="Times New Roman"/>
          <w:sz w:val="32"/>
          <w:szCs w:val="32"/>
        </w:rPr>
        <w:t>如下。</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eastAsia" w:eastAsia="仿宋_GB2312"/>
          <w:sz w:val="32"/>
          <w:szCs w:val="32"/>
          <w:lang w:val="en-US" w:eastAsia="zh-CN"/>
        </w:rPr>
        <w:t>调整达州市职工基本医疗保险参保</w:t>
      </w:r>
      <w:r>
        <w:rPr>
          <w:rFonts w:eastAsia="仿宋_GB2312"/>
          <w:sz w:val="32"/>
          <w:szCs w:val="32"/>
        </w:rPr>
        <w:t>人员普通门诊统筹</w:t>
      </w:r>
      <w:r>
        <w:rPr>
          <w:rFonts w:hint="eastAsia" w:eastAsia="仿宋_GB2312"/>
          <w:sz w:val="32"/>
          <w:szCs w:val="32"/>
          <w:lang w:val="en-US" w:eastAsia="zh-CN"/>
        </w:rPr>
        <w:t>年度支付限额。按</w:t>
      </w:r>
      <w:r>
        <w:rPr>
          <w:rFonts w:eastAsia="仿宋_GB2312"/>
          <w:sz w:val="32"/>
          <w:szCs w:val="32"/>
        </w:rPr>
        <w:t>统账结合方式参保</w:t>
      </w:r>
      <w:r>
        <w:rPr>
          <w:rFonts w:hint="eastAsia" w:eastAsia="仿宋_GB2312"/>
          <w:sz w:val="32"/>
          <w:szCs w:val="32"/>
          <w:lang w:val="en-US" w:eastAsia="zh-CN"/>
        </w:rPr>
        <w:t>的</w:t>
      </w:r>
      <w:r>
        <w:rPr>
          <w:rFonts w:hint="default" w:ascii="Times New Roman" w:hAnsi="Times New Roman" w:eastAsia="仿宋_GB2312" w:cs="Times New Roman"/>
          <w:sz w:val="32"/>
          <w:szCs w:val="32"/>
        </w:rPr>
        <w:t>在职职工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普通门诊统筹基金年度支付限额</w:t>
      </w:r>
      <w:r>
        <w:rPr>
          <w:rFonts w:hint="default" w:ascii="Times New Roman" w:hAnsi="Times New Roman" w:eastAsia="仿宋_GB2312" w:cs="Times New Roman"/>
          <w:sz w:val="32"/>
          <w:szCs w:val="32"/>
          <w:lang w:val="en-US" w:eastAsia="zh-CN"/>
        </w:rPr>
        <w:t>调整</w:t>
      </w:r>
      <w:r>
        <w:rPr>
          <w:rFonts w:hint="default" w:ascii="Times New Roman" w:hAnsi="Times New Roman" w:eastAsia="仿宋_GB2312" w:cs="Times New Roman"/>
          <w:sz w:val="32"/>
          <w:szCs w:val="32"/>
        </w:rPr>
        <w:t>为</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00元，退休</w:t>
      </w:r>
      <w:r>
        <w:rPr>
          <w:rFonts w:hint="default" w:ascii="Times New Roman" w:hAnsi="Times New Roman" w:eastAsia="仿宋_GB2312" w:cs="Times New Roman"/>
          <w:sz w:val="32"/>
          <w:szCs w:val="32"/>
          <w:lang w:val="en-US" w:eastAsia="zh-CN"/>
        </w:rPr>
        <w:t>职工调整</w:t>
      </w:r>
      <w:r>
        <w:rPr>
          <w:rFonts w:hint="default" w:ascii="Times New Roman" w:hAnsi="Times New Roman" w:eastAsia="仿宋_GB2312" w:cs="Times New Roman"/>
          <w:sz w:val="32"/>
          <w:szCs w:val="32"/>
        </w:rPr>
        <w:t>为</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00元。</w:t>
      </w:r>
      <w:r>
        <w:rPr>
          <w:rFonts w:hint="default" w:ascii="Times New Roman" w:hAnsi="Times New Roman" w:eastAsia="仿宋_GB2312" w:cs="Times New Roman"/>
          <w:sz w:val="32"/>
          <w:szCs w:val="32"/>
          <w:lang w:val="en-US" w:eastAsia="zh-CN"/>
        </w:rPr>
        <w:t>原单建统筹方式参保的</w:t>
      </w:r>
      <w:r>
        <w:rPr>
          <w:rFonts w:hint="default" w:ascii="Times New Roman" w:hAnsi="Times New Roman" w:eastAsia="仿宋_GB2312" w:cs="Times New Roman"/>
          <w:sz w:val="32"/>
          <w:szCs w:val="32"/>
        </w:rPr>
        <w:t>在职职工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普通门诊统筹基金年度支付限额</w:t>
      </w:r>
      <w:r>
        <w:rPr>
          <w:rFonts w:hint="default" w:ascii="Times New Roman" w:hAnsi="Times New Roman" w:eastAsia="仿宋_GB2312" w:cs="Times New Roman"/>
          <w:sz w:val="32"/>
          <w:szCs w:val="32"/>
          <w:lang w:val="en-US" w:eastAsia="zh-CN"/>
        </w:rPr>
        <w:t>调整</w:t>
      </w:r>
      <w:r>
        <w:rPr>
          <w:rFonts w:hint="default" w:ascii="Times New Roman" w:hAnsi="Times New Roman" w:eastAsia="仿宋_GB2312" w:cs="Times New Roman"/>
          <w:sz w:val="32"/>
          <w:szCs w:val="32"/>
        </w:rPr>
        <w:t>为</w:t>
      </w:r>
      <w:r>
        <w:rPr>
          <w:rFonts w:hint="default" w:ascii="Times New Roman" w:hAnsi="Times New Roman" w:eastAsia="仿宋_GB2312" w:cs="Times New Roman"/>
          <w:sz w:val="32"/>
          <w:szCs w:val="32"/>
          <w:lang w:val="en-US" w:eastAsia="zh-CN"/>
        </w:rPr>
        <w:t>1100</w:t>
      </w:r>
      <w:r>
        <w:rPr>
          <w:rFonts w:hint="default" w:ascii="Times New Roman" w:hAnsi="Times New Roman" w:eastAsia="仿宋_GB2312" w:cs="Times New Roman"/>
          <w:sz w:val="32"/>
          <w:szCs w:val="32"/>
        </w:rPr>
        <w:t>元，退休</w:t>
      </w:r>
      <w:r>
        <w:rPr>
          <w:rFonts w:hint="default" w:ascii="Times New Roman" w:hAnsi="Times New Roman" w:eastAsia="仿宋_GB2312" w:cs="Times New Roman"/>
          <w:sz w:val="32"/>
          <w:szCs w:val="32"/>
          <w:lang w:val="en-US" w:eastAsia="zh-CN"/>
        </w:rPr>
        <w:t>职工调整</w:t>
      </w:r>
      <w:r>
        <w:rPr>
          <w:rFonts w:hint="default" w:ascii="Times New Roman" w:hAnsi="Times New Roman" w:eastAsia="仿宋_GB2312" w:cs="Times New Roman"/>
          <w:sz w:val="32"/>
          <w:szCs w:val="32"/>
        </w:rPr>
        <w:t>为</w:t>
      </w:r>
      <w:r>
        <w:rPr>
          <w:rFonts w:hint="default" w:ascii="Times New Roman" w:hAnsi="Times New Roman" w:eastAsia="仿宋_GB2312" w:cs="Times New Roman"/>
          <w:sz w:val="32"/>
          <w:szCs w:val="32"/>
          <w:lang w:val="en-US" w:eastAsia="zh-CN"/>
        </w:rPr>
        <w:t>1400</w:t>
      </w:r>
      <w:r>
        <w:rPr>
          <w:rFonts w:hint="default" w:ascii="Times New Roman" w:hAnsi="Times New Roman" w:eastAsia="仿宋_GB2312" w:cs="Times New Roman"/>
          <w:sz w:val="32"/>
          <w:szCs w:val="32"/>
        </w:rPr>
        <w:t>元。</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各地要切实做好政策宣传工作，</w:t>
      </w:r>
      <w:r>
        <w:rPr>
          <w:rFonts w:hint="eastAsia" w:ascii="Times New Roman" w:hAnsi="Times New Roman" w:eastAsia="仿宋_GB2312" w:cs="Times New Roman"/>
          <w:sz w:val="32"/>
          <w:szCs w:val="32"/>
          <w:lang w:val="en-US" w:eastAsia="zh-CN"/>
        </w:rPr>
        <w:t>使参保职工广泛知晓，同时</w:t>
      </w:r>
      <w:r>
        <w:rPr>
          <w:rFonts w:hint="eastAsia" w:eastAsia="仿宋_GB2312"/>
          <w:sz w:val="32"/>
          <w:szCs w:val="32"/>
          <w:lang w:val="en-US" w:eastAsia="zh-CN"/>
        </w:rPr>
        <w:t>加大</w:t>
      </w:r>
      <w:r>
        <w:rPr>
          <w:rFonts w:eastAsia="仿宋_GB2312"/>
          <w:sz w:val="32"/>
          <w:szCs w:val="32"/>
        </w:rPr>
        <w:t>医保基金监督管理，</w:t>
      </w:r>
      <w:r>
        <w:rPr>
          <w:rFonts w:hint="default" w:ascii="Times New Roman" w:hAnsi="Times New Roman" w:eastAsia="仿宋_GB2312" w:cs="Times New Roman"/>
          <w:sz w:val="32"/>
          <w:szCs w:val="32"/>
        </w:rPr>
        <w:t>引导群众合理有序就医。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lang w:val="en-US"/>
        </w:rPr>
      </w:pP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本通知自202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日起执行。</w:t>
      </w:r>
      <w:r>
        <w:rPr>
          <w:rFonts w:hint="eastAsia" w:ascii="Times New Roman" w:hAnsi="Times New Roman" w:eastAsia="仿宋_GB2312" w:cs="Times New Roman"/>
          <w:sz w:val="32"/>
          <w:szCs w:val="32"/>
          <w:lang w:val="en-US" w:eastAsia="zh-CN"/>
        </w:rPr>
        <w:t>执行期间，国家和省有新规定的，从其规定。</w:t>
      </w:r>
    </w:p>
    <w:p/>
    <w:sectPr>
      <w:footerReference r:id="rId3" w:type="default"/>
      <w:pgSz w:w="11906" w:h="16838"/>
      <w:pgMar w:top="2098" w:right="1474" w:bottom="1984" w:left="1587" w:header="851" w:footer="1474"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2312">
    <w:panose1 w:val="02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-173990</wp:posOffset>
              </wp:positionV>
              <wp:extent cx="706120" cy="311785"/>
              <wp:effectExtent l="0" t="0" r="0" b="0"/>
              <wp:wrapNone/>
              <wp:docPr id="2" name="文本框 2"/>
              <wp:cNvGraphicFramePr/>
              <a:graphic xmlns:a="http://schemas.openxmlformats.org/drawingml/2006/main">
                <a:graphicData uri="http://schemas.microsoft.com/office/word/2010/wordprocessingShape">
                  <wps:wsp>
                    <wps:cNvSpPr txBox="1"/>
                    <wps:spPr>
                      <a:xfrm>
                        <a:off x="0" y="0"/>
                        <a:ext cx="706120" cy="311785"/>
                      </a:xfrm>
                      <a:prstGeom prst="rect">
                        <a:avLst/>
                      </a:prstGeom>
                      <a:noFill/>
                      <a:ln w="6350">
                        <a:noFill/>
                      </a:ln>
                      <a:effectLst/>
                    </wps:spPr>
                    <wps:txbx>
                      <w:txbxContent>
                        <w:p>
                          <w:pPr>
                            <w:pStyle w:val="2"/>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3.7pt;height:24.55pt;width:55.6pt;mso-position-horizontal:outside;mso-position-horizontal-relative:margin;z-index:251659264;mso-width-relative:page;mso-height-relative:page;" filled="f" stroked="f" coordsize="21600,21600" o:gfxdata="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AqhDY9YA&#10;AAAHAQAADwAAAAAAAAABACAAAAAiAAAAZHJzL2Rvd25yZXYueG1sUEsBAhQAFAAAAAgAh07iQH11&#10;gawhAgAAIQQAAA4AAAAAAAAAAQAgAAAAJQEAAGRycy9lMm9Eb2MueG1sUEsFBgAAAAAGAAYAWQEA&#10;ALgFAAAAAA==&#10;">
              <v:fill on="f" focussize="0,0"/>
              <v:stroke on="f" weight="0.5pt"/>
              <v:imagedata o:title=""/>
              <o:lock v:ext="edit" aspectratio="f"/>
              <v:textbox inset="0mm,0mm,0mm,0mm">
                <w:txbxContent>
                  <w:p>
                    <w:pPr>
                      <w:pStyle w:val="2"/>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EF87E"/>
    <w:multiLevelType w:val="singleLevel"/>
    <w:tmpl w:val="2C7EF87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441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2026-02-09T03:40:01Z</dcterms:created>
  <dc:creator>Administrator</dc:creator>
  <cp:lastModifiedBy>風凉語</cp:lastModifiedBy>
  <dcterms:modified xsi:type="dcterms:W3CDTF">2026-02-09T03:40:06Z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