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5F86C">
      <w:pPr>
        <w:keepNext w:val="0"/>
        <w:keepLines w:val="0"/>
        <w:pageBreakBefore w:val="0"/>
        <w:widowControl w:val="0"/>
        <w:kinsoku/>
        <w:wordWrap/>
        <w:overflowPunct/>
        <w:topLinePunct w:val="0"/>
        <w:autoSpaceDE w:val="0"/>
        <w:autoSpaceDN w:val="0"/>
        <w:bidi w:val="0"/>
        <w:adjustRightInd w:val="0"/>
        <w:snapToGrid w:val="0"/>
        <w:spacing w:line="578" w:lineRule="exact"/>
        <w:jc w:val="left"/>
        <w:textAlignment w:val="baseline"/>
        <w:outlineLvl w:val="0"/>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w:t>
      </w:r>
    </w:p>
    <w:p w14:paraId="48468634">
      <w:pPr>
        <w:pStyle w:val="2"/>
        <w:rPr>
          <w:rFonts w:hint="default"/>
          <w:b w:val="0"/>
          <w:bCs w:val="0"/>
          <w:color w:val="auto"/>
          <w:lang w:val="en-US" w:eastAsia="zh-CN"/>
        </w:rPr>
      </w:pPr>
    </w:p>
    <w:p w14:paraId="189B5433">
      <w:pPr>
        <w:keepNext w:val="0"/>
        <w:keepLines w:val="0"/>
        <w:pageBreakBefore w:val="0"/>
        <w:widowControl w:val="0"/>
        <w:kinsoku/>
        <w:wordWrap/>
        <w:overflowPunct/>
        <w:topLinePunct w:val="0"/>
        <w:autoSpaceDE w:val="0"/>
        <w:autoSpaceDN w:val="0"/>
        <w:bidi w:val="0"/>
        <w:adjustRightInd w:val="0"/>
        <w:snapToGrid w:val="0"/>
        <w:spacing w:line="578" w:lineRule="exact"/>
        <w:jc w:val="center"/>
        <w:textAlignment w:val="baseline"/>
        <w:outlineLvl w:val="0"/>
        <w:rPr>
          <w:rFonts w:hint="default" w:ascii="Times New Roman" w:hAnsi="Times New Roman" w:eastAsia="方正小标宋简体" w:cs="Times New Roman"/>
          <w:b w:val="0"/>
          <w:bCs w:val="0"/>
          <w:color w:val="auto"/>
          <w:spacing w:val="0"/>
          <w:sz w:val="43"/>
          <w:szCs w:val="43"/>
        </w:rPr>
      </w:pPr>
      <w:r>
        <w:rPr>
          <w:rFonts w:hint="default" w:ascii="Times New Roman" w:hAnsi="Times New Roman" w:eastAsia="方正小标宋简体" w:cs="Times New Roman"/>
          <w:b w:val="0"/>
          <w:bCs w:val="0"/>
          <w:color w:val="auto"/>
          <w:spacing w:val="0"/>
          <w:sz w:val="43"/>
          <w:szCs w:val="43"/>
        </w:rPr>
        <w:t>关于进一步规范完善城乡居民大病保险</w:t>
      </w:r>
    </w:p>
    <w:p w14:paraId="3DCC54EE">
      <w:pPr>
        <w:keepNext w:val="0"/>
        <w:keepLines w:val="0"/>
        <w:pageBreakBefore w:val="0"/>
        <w:widowControl w:val="0"/>
        <w:kinsoku/>
        <w:wordWrap/>
        <w:overflowPunct/>
        <w:topLinePunct w:val="0"/>
        <w:autoSpaceDE w:val="0"/>
        <w:autoSpaceDN w:val="0"/>
        <w:bidi w:val="0"/>
        <w:adjustRightInd w:val="0"/>
        <w:snapToGrid w:val="0"/>
        <w:spacing w:line="578" w:lineRule="exact"/>
        <w:ind w:left="3003"/>
        <w:textAlignment w:val="baseline"/>
        <w:outlineLvl w:val="0"/>
        <w:rPr>
          <w:rFonts w:hint="default" w:ascii="Times New Roman" w:hAnsi="Times New Roman" w:eastAsia="方正小标宋简体" w:cs="Times New Roman"/>
          <w:b w:val="0"/>
          <w:bCs w:val="0"/>
          <w:color w:val="auto"/>
          <w:spacing w:val="0"/>
          <w:sz w:val="43"/>
          <w:szCs w:val="43"/>
        </w:rPr>
      </w:pPr>
      <w:r>
        <w:rPr>
          <w:rFonts w:hint="default" w:ascii="Times New Roman" w:hAnsi="Times New Roman" w:eastAsia="方正小标宋简体" w:cs="Times New Roman"/>
          <w:b w:val="0"/>
          <w:bCs w:val="0"/>
          <w:color w:val="auto"/>
          <w:spacing w:val="0"/>
          <w:sz w:val="43"/>
          <w:szCs w:val="43"/>
        </w:rPr>
        <w:t>有关工作的通知</w:t>
      </w:r>
    </w:p>
    <w:p w14:paraId="2E59E56C">
      <w:pPr>
        <w:keepNext w:val="0"/>
        <w:keepLines w:val="0"/>
        <w:pageBreakBefore w:val="0"/>
        <w:widowControl w:val="0"/>
        <w:kinsoku/>
        <w:wordWrap/>
        <w:overflowPunct/>
        <w:topLinePunct w:val="0"/>
        <w:autoSpaceDE w:val="0"/>
        <w:autoSpaceDN w:val="0"/>
        <w:bidi w:val="0"/>
        <w:adjustRightInd w:val="0"/>
        <w:snapToGrid w:val="0"/>
        <w:spacing w:line="578" w:lineRule="exact"/>
        <w:ind w:left="3417"/>
        <w:textAlignment w:val="baseline"/>
        <w:rPr>
          <w:rFonts w:hint="default" w:ascii="Times New Roman" w:hAnsi="Times New Roman" w:eastAsia="KaiTi_GB2312" w:cs="Times New Roman"/>
          <w:b w:val="0"/>
          <w:bCs w:val="0"/>
          <w:color w:val="auto"/>
          <w:spacing w:val="0"/>
          <w:sz w:val="31"/>
          <w:szCs w:val="31"/>
        </w:rPr>
      </w:pPr>
      <w:r>
        <w:rPr>
          <w:rFonts w:hint="default" w:ascii="Times New Roman" w:hAnsi="Times New Roman" w:eastAsia="KaiTi_GB2312" w:cs="Times New Roman"/>
          <w:b w:val="0"/>
          <w:bCs w:val="0"/>
          <w:color w:val="auto"/>
          <w:spacing w:val="0"/>
          <w:sz w:val="31"/>
          <w:szCs w:val="31"/>
        </w:rPr>
        <w:t>（征求意见稿）</w:t>
      </w:r>
    </w:p>
    <w:p w14:paraId="23A8480D">
      <w:pPr>
        <w:keepNext w:val="0"/>
        <w:keepLines w:val="0"/>
        <w:pageBreakBefore w:val="0"/>
        <w:widowControl w:val="0"/>
        <w:kinsoku/>
        <w:wordWrap/>
        <w:overflowPunct/>
        <w:topLinePunct w:val="0"/>
        <w:autoSpaceDE w:val="0"/>
        <w:autoSpaceDN w:val="0"/>
        <w:bidi w:val="0"/>
        <w:adjustRightInd w:val="0"/>
        <w:snapToGrid w:val="0"/>
        <w:spacing w:line="578" w:lineRule="exact"/>
        <w:textAlignment w:val="baseline"/>
        <w:rPr>
          <w:rFonts w:hint="default" w:ascii="Times New Roman" w:hAnsi="Times New Roman" w:cs="Times New Roman"/>
          <w:b w:val="0"/>
          <w:bCs w:val="0"/>
          <w:color w:val="auto"/>
          <w:spacing w:val="0"/>
          <w:sz w:val="21"/>
        </w:rPr>
      </w:pPr>
    </w:p>
    <w:p w14:paraId="7A66E075">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31" w:firstLine="658"/>
        <w:jc w:val="both"/>
        <w:textAlignment w:val="baseline"/>
        <w:rPr>
          <w:rFonts w:hint="default" w:ascii="Times New Roman" w:hAnsi="Times New Roman" w:cs="Times New Roman"/>
          <w:b w:val="0"/>
          <w:bCs w:val="0"/>
          <w:color w:val="auto"/>
          <w:spacing w:val="0"/>
        </w:rPr>
      </w:pPr>
      <w:r>
        <w:rPr>
          <w:rFonts w:hint="default" w:ascii="Times New Roman" w:hAnsi="Times New Roman" w:cs="Times New Roman"/>
          <w:b w:val="0"/>
          <w:bCs w:val="0"/>
          <w:color w:val="auto"/>
          <w:spacing w:val="0"/>
        </w:rPr>
        <w:t>为进一步规范我市城乡居民大病保险（ 以下简称“大病保险”）制度，根据《国务院办公厅关于全面实施城乡居民大病保险的意见》（国办发〔2015〕57 号）《四川省人民政府办公厅关</w:t>
      </w:r>
      <w:bookmarkStart w:id="1" w:name="_GoBack"/>
      <w:bookmarkEnd w:id="1"/>
      <w:r>
        <w:rPr>
          <w:rFonts w:hint="default" w:ascii="Times New Roman" w:hAnsi="Times New Roman" w:cs="Times New Roman"/>
          <w:b w:val="0"/>
          <w:bCs w:val="0"/>
          <w:color w:val="auto"/>
          <w:spacing w:val="0"/>
        </w:rPr>
        <w:t xml:space="preserve">于健全基本医疗保险参保长效机制的实施意见》（川办发〔2025〕32 </w:t>
      </w:r>
      <w:r>
        <w:rPr>
          <w:rFonts w:hint="default" w:ascii="Times New Roman" w:hAnsi="Times New Roman" w:cs="Times New Roman"/>
          <w:b w:val="0"/>
          <w:bCs w:val="0"/>
          <w:color w:val="auto"/>
          <w:spacing w:val="0"/>
          <w:lang w:val="en-US" w:eastAsia="zh-CN"/>
        </w:rPr>
        <w:t>号</w:t>
      </w:r>
      <w:r>
        <w:rPr>
          <w:rFonts w:hint="default" w:ascii="Times New Roman" w:hAnsi="Times New Roman" w:cs="Times New Roman"/>
          <w:b w:val="0"/>
          <w:bCs w:val="0"/>
          <w:color w:val="auto"/>
          <w:spacing w:val="0"/>
        </w:rPr>
        <w:t>）</w:t>
      </w:r>
      <w:r>
        <w:rPr>
          <w:rFonts w:hint="default" w:ascii="Times New Roman" w:hAnsi="Times New Roman" w:cs="Times New Roman"/>
          <w:b w:val="0"/>
          <w:bCs w:val="0"/>
          <w:color w:val="auto"/>
          <w:spacing w:val="0"/>
          <w:lang w:eastAsia="zh-CN"/>
        </w:rPr>
        <w:t>《达州市人民政府办公室关于印发达州市城乡居民大病保险实施方案的通知》（达市府办规〔2022〕1号）</w:t>
      </w:r>
      <w:r>
        <w:rPr>
          <w:rFonts w:hint="default" w:ascii="Times New Roman" w:hAnsi="Times New Roman" w:cs="Times New Roman"/>
          <w:b w:val="0"/>
          <w:bCs w:val="0"/>
          <w:color w:val="auto"/>
          <w:spacing w:val="0"/>
        </w:rPr>
        <w:t>和国省有关大病保险规范管理工作要求，现就</w:t>
      </w:r>
      <w:r>
        <w:rPr>
          <w:rFonts w:hint="default" w:ascii="Times New Roman" w:hAnsi="Times New Roman" w:cs="Times New Roman"/>
          <w:b w:val="0"/>
          <w:bCs w:val="0"/>
          <w:color w:val="auto"/>
          <w:spacing w:val="0"/>
          <w:lang w:val="en-US" w:eastAsia="zh-CN"/>
        </w:rPr>
        <w:t>规范</w:t>
      </w:r>
      <w:r>
        <w:rPr>
          <w:rFonts w:hint="default" w:ascii="Times New Roman" w:hAnsi="Times New Roman" w:cs="Times New Roman"/>
          <w:b w:val="0"/>
          <w:bCs w:val="0"/>
          <w:color w:val="auto"/>
          <w:spacing w:val="0"/>
        </w:rPr>
        <w:t>完善我市大病保险政策，提升保障功能有关工作通知如下。</w:t>
      </w:r>
    </w:p>
    <w:p w14:paraId="2C3E9A0D">
      <w:pPr>
        <w:keepNext w:val="0"/>
        <w:keepLines w:val="0"/>
        <w:pageBreakBefore w:val="0"/>
        <w:widowControl w:val="0"/>
        <w:kinsoku/>
        <w:wordWrap/>
        <w:overflowPunct/>
        <w:topLinePunct w:val="0"/>
        <w:autoSpaceDE w:val="0"/>
        <w:autoSpaceDN w:val="0"/>
        <w:bidi w:val="0"/>
        <w:adjustRightInd w:val="0"/>
        <w:snapToGrid w:val="0"/>
        <w:spacing w:line="578" w:lineRule="exact"/>
        <w:ind w:left="653"/>
        <w:textAlignment w:val="baseline"/>
        <w:rPr>
          <w:rFonts w:hint="default" w:ascii="Times New Roman" w:hAnsi="Times New Roman" w:eastAsia="黑体" w:cs="Times New Roman"/>
          <w:b w:val="0"/>
          <w:bCs w:val="0"/>
          <w:color w:val="auto"/>
          <w:spacing w:val="0"/>
          <w:sz w:val="31"/>
          <w:szCs w:val="31"/>
        </w:rPr>
      </w:pPr>
      <w:r>
        <w:rPr>
          <w:rFonts w:hint="default" w:ascii="Times New Roman" w:hAnsi="Times New Roman" w:eastAsia="黑体" w:cs="Times New Roman"/>
          <w:b w:val="0"/>
          <w:bCs w:val="0"/>
          <w:color w:val="auto"/>
          <w:spacing w:val="0"/>
          <w:sz w:val="31"/>
          <w:szCs w:val="31"/>
          <w:lang w:val="en-US" w:eastAsia="zh-CN"/>
        </w:rPr>
        <w:t>一</w:t>
      </w:r>
      <w:r>
        <w:rPr>
          <w:rFonts w:hint="default" w:ascii="Times New Roman" w:hAnsi="Times New Roman" w:eastAsia="黑体" w:cs="Times New Roman"/>
          <w:b w:val="0"/>
          <w:bCs w:val="0"/>
          <w:color w:val="auto"/>
          <w:spacing w:val="0"/>
          <w:sz w:val="31"/>
          <w:szCs w:val="31"/>
        </w:rPr>
        <w:t>、科学确定筹资水平</w:t>
      </w:r>
    </w:p>
    <w:p w14:paraId="125D77E4">
      <w:pPr>
        <w:pStyle w:val="3"/>
        <w:keepNext w:val="0"/>
        <w:keepLines w:val="0"/>
        <w:pageBreakBefore w:val="0"/>
        <w:widowControl w:val="0"/>
        <w:kinsoku/>
        <w:wordWrap/>
        <w:overflowPunct/>
        <w:topLinePunct w:val="0"/>
        <w:autoSpaceDE w:val="0"/>
        <w:autoSpaceDN w:val="0"/>
        <w:bidi w:val="0"/>
        <w:adjustRightInd w:val="0"/>
        <w:snapToGrid w:val="0"/>
        <w:spacing w:line="578" w:lineRule="exact"/>
        <w:ind w:left="5" w:firstLine="657"/>
        <w:jc w:val="both"/>
        <w:textAlignment w:val="baseline"/>
        <w:rPr>
          <w:rFonts w:hint="default" w:ascii="Times New Roman" w:hAnsi="Times New Roman" w:cs="Times New Roman"/>
          <w:b w:val="0"/>
          <w:bCs w:val="0"/>
          <w:color w:val="auto"/>
          <w:spacing w:val="0"/>
        </w:rPr>
      </w:pPr>
      <w:r>
        <w:rPr>
          <w:rFonts w:hint="default" w:ascii="Times New Roman" w:hAnsi="Times New Roman" w:cs="Times New Roman"/>
          <w:b w:val="0"/>
          <w:bCs w:val="0"/>
          <w:color w:val="auto"/>
          <w:spacing w:val="0"/>
        </w:rPr>
        <w:t>我市大病保险资金从</w:t>
      </w:r>
      <w:r>
        <w:rPr>
          <w:rFonts w:hint="eastAsia" w:ascii="Times New Roman" w:hAnsi="Times New Roman" w:cs="Times New Roman"/>
          <w:b w:val="0"/>
          <w:bCs w:val="0"/>
          <w:color w:val="auto"/>
          <w:spacing w:val="0"/>
          <w:lang w:val="en-US" w:eastAsia="zh-CN"/>
        </w:rPr>
        <w:t>城乡</w:t>
      </w:r>
      <w:r>
        <w:rPr>
          <w:rFonts w:hint="default" w:ascii="Times New Roman" w:hAnsi="Times New Roman" w:cs="Times New Roman"/>
          <w:b w:val="0"/>
          <w:bCs w:val="0"/>
          <w:color w:val="auto"/>
          <w:spacing w:val="0"/>
        </w:rPr>
        <w:t>居民医保统筹基金中列支，参保人员个人不缴费，划拨比例按照上年度</w:t>
      </w:r>
      <w:r>
        <w:rPr>
          <w:rFonts w:hint="eastAsia" w:ascii="Times New Roman" w:hAnsi="Times New Roman" w:cs="Times New Roman"/>
          <w:b w:val="0"/>
          <w:bCs w:val="0"/>
          <w:color w:val="auto"/>
          <w:spacing w:val="0"/>
          <w:lang w:val="en-US" w:eastAsia="zh-CN"/>
        </w:rPr>
        <w:t>城乡</w:t>
      </w:r>
      <w:r>
        <w:rPr>
          <w:rFonts w:hint="default" w:ascii="Times New Roman" w:hAnsi="Times New Roman" w:cs="Times New Roman"/>
          <w:b w:val="0"/>
          <w:bCs w:val="0"/>
          <w:color w:val="auto"/>
          <w:spacing w:val="0"/>
        </w:rPr>
        <w:t>居民医保筹资标准的 6%左右确定</w:t>
      </w:r>
      <w:r>
        <w:rPr>
          <w:rFonts w:hint="default" w:ascii="Times New Roman" w:hAnsi="Times New Roman" w:cs="Times New Roman"/>
          <w:b w:val="0"/>
          <w:bCs w:val="0"/>
          <w:color w:val="auto"/>
          <w:spacing w:val="0"/>
          <w:lang w:eastAsia="zh-CN"/>
        </w:rPr>
        <w:t>。</w:t>
      </w:r>
      <w:r>
        <w:rPr>
          <w:rFonts w:hint="default" w:ascii="Times New Roman" w:hAnsi="Times New Roman" w:eastAsia="FangSong_GB2312" w:cs="Times New Roman"/>
          <w:b w:val="0"/>
          <w:bCs w:val="0"/>
          <w:snapToGrid w:val="0"/>
          <w:color w:val="auto"/>
          <w:spacing w:val="0"/>
          <w:kern w:val="0"/>
          <w:sz w:val="31"/>
          <w:szCs w:val="31"/>
          <w:lang w:val="en-US" w:eastAsia="en-US" w:bidi="ar-SA"/>
        </w:rPr>
        <w:t>具体筹资标准按照国家和省有关要求，</w:t>
      </w:r>
      <w:r>
        <w:rPr>
          <w:rFonts w:hint="default" w:ascii="Times New Roman" w:hAnsi="Times New Roman" w:eastAsia="FangSong_GB2312" w:cs="Times New Roman"/>
          <w:b w:val="0"/>
          <w:bCs w:val="0"/>
          <w:snapToGrid w:val="0"/>
          <w:color w:val="auto"/>
          <w:spacing w:val="0"/>
          <w:kern w:val="0"/>
          <w:sz w:val="31"/>
          <w:szCs w:val="31"/>
          <w:lang w:val="en-US" w:eastAsia="zh-CN" w:bidi="ar-SA"/>
        </w:rPr>
        <w:t>结合</w:t>
      </w:r>
      <w:r>
        <w:rPr>
          <w:rFonts w:hint="default" w:ascii="Times New Roman" w:hAnsi="Times New Roman" w:eastAsia="仿宋_GB2312" w:cs="Times New Roman"/>
          <w:b w:val="0"/>
          <w:bCs w:val="0"/>
          <w:color w:val="auto"/>
          <w:sz w:val="32"/>
          <w:szCs w:val="32"/>
          <w:shd w:val="clear" w:color="auto" w:fill="FFFFFF"/>
        </w:rPr>
        <w:t>我市经济社会发展水平、</w:t>
      </w:r>
      <w:r>
        <w:rPr>
          <w:rFonts w:hint="default" w:ascii="Times New Roman" w:hAnsi="Times New Roman" w:eastAsia="仿宋_GB2312" w:cs="Times New Roman"/>
          <w:b w:val="0"/>
          <w:bCs w:val="0"/>
          <w:color w:val="auto"/>
          <w:sz w:val="32"/>
          <w:szCs w:val="32"/>
          <w:shd w:val="clear" w:color="auto" w:fill="FFFFFF"/>
          <w:lang w:val="en-US" w:eastAsia="zh-CN"/>
        </w:rPr>
        <w:t>基本医保筹资标准、</w:t>
      </w:r>
      <w:r>
        <w:rPr>
          <w:rFonts w:hint="default" w:ascii="Times New Roman" w:hAnsi="Times New Roman" w:eastAsia="仿宋_GB2312" w:cs="Times New Roman"/>
          <w:b w:val="0"/>
          <w:bCs w:val="0"/>
          <w:color w:val="auto"/>
          <w:sz w:val="32"/>
          <w:szCs w:val="32"/>
          <w:shd w:val="clear" w:color="auto" w:fill="FFFFFF"/>
        </w:rPr>
        <w:t>大病保险保障水平等因素，通过</w:t>
      </w:r>
      <w:r>
        <w:rPr>
          <w:rFonts w:hint="default" w:ascii="Times New Roman" w:hAnsi="Times New Roman" w:eastAsia="仿宋_GB2312" w:cs="Times New Roman"/>
          <w:b w:val="0"/>
          <w:bCs w:val="0"/>
          <w:color w:val="auto"/>
          <w:sz w:val="32"/>
          <w:szCs w:val="32"/>
        </w:rPr>
        <w:t>统一公开招标确定。</w:t>
      </w:r>
    </w:p>
    <w:p w14:paraId="1FA32F77">
      <w:pPr>
        <w:keepNext w:val="0"/>
        <w:keepLines w:val="0"/>
        <w:pageBreakBefore w:val="0"/>
        <w:widowControl w:val="0"/>
        <w:kinsoku/>
        <w:wordWrap/>
        <w:overflowPunct/>
        <w:topLinePunct w:val="0"/>
        <w:autoSpaceDE w:val="0"/>
        <w:autoSpaceDN w:val="0"/>
        <w:bidi w:val="0"/>
        <w:adjustRightInd w:val="0"/>
        <w:snapToGrid w:val="0"/>
        <w:spacing w:line="578" w:lineRule="exact"/>
        <w:ind w:firstLine="620" w:firstLineChars="200"/>
        <w:textAlignment w:val="baseline"/>
        <w:outlineLvl w:val="1"/>
        <w:rPr>
          <w:rFonts w:hint="default" w:ascii="Times New Roman" w:hAnsi="Times New Roman" w:eastAsia="黑体" w:cs="Times New Roman"/>
          <w:b w:val="0"/>
          <w:bCs w:val="0"/>
          <w:color w:val="auto"/>
          <w:spacing w:val="0"/>
          <w:sz w:val="31"/>
          <w:szCs w:val="31"/>
        </w:rPr>
      </w:pPr>
      <w:r>
        <w:rPr>
          <w:rFonts w:hint="default" w:ascii="Times New Roman" w:hAnsi="Times New Roman" w:eastAsia="黑体" w:cs="Times New Roman"/>
          <w:b w:val="0"/>
          <w:bCs w:val="0"/>
          <w:color w:val="auto"/>
          <w:spacing w:val="0"/>
          <w:sz w:val="31"/>
          <w:szCs w:val="31"/>
          <w:lang w:val="en-US" w:eastAsia="zh-CN"/>
        </w:rPr>
        <w:t>二</w:t>
      </w:r>
      <w:r>
        <w:rPr>
          <w:rFonts w:hint="default" w:ascii="Times New Roman" w:hAnsi="Times New Roman" w:eastAsia="黑体" w:cs="Times New Roman"/>
          <w:b w:val="0"/>
          <w:bCs w:val="0"/>
          <w:color w:val="auto"/>
          <w:spacing w:val="0"/>
          <w:sz w:val="31"/>
          <w:szCs w:val="31"/>
        </w:rPr>
        <w:t>、规范明确支付范围</w:t>
      </w:r>
    </w:p>
    <w:p w14:paraId="5DC82752">
      <w:pPr>
        <w:pStyle w:val="3"/>
        <w:keepNext w:val="0"/>
        <w:keepLines w:val="0"/>
        <w:pageBreakBefore w:val="0"/>
        <w:widowControl w:val="0"/>
        <w:kinsoku/>
        <w:wordWrap/>
        <w:overflowPunct/>
        <w:topLinePunct w:val="0"/>
        <w:autoSpaceDE w:val="0"/>
        <w:autoSpaceDN w:val="0"/>
        <w:bidi w:val="0"/>
        <w:adjustRightInd w:val="0"/>
        <w:snapToGrid w:val="0"/>
        <w:spacing w:line="578" w:lineRule="exact"/>
        <w:ind w:left="6" w:right="97" w:firstLine="632"/>
        <w:jc w:val="both"/>
        <w:textAlignment w:val="baseline"/>
        <w:rPr>
          <w:rFonts w:hint="default" w:ascii="Times New Roman" w:hAnsi="Times New Roman" w:cs="Times New Roman"/>
          <w:b w:val="0"/>
          <w:bCs w:val="0"/>
          <w:color w:val="auto"/>
          <w:spacing w:val="0"/>
        </w:rPr>
      </w:pPr>
      <w:r>
        <w:rPr>
          <w:rFonts w:hint="eastAsia" w:ascii="仿宋_GB2312" w:hAnsi="Times New Roman" w:eastAsia="仿宋_GB2312" w:cs="Times New Roman"/>
          <w:b w:val="0"/>
          <w:bCs w:val="0"/>
          <w:color w:val="auto"/>
          <w:spacing w:val="-6"/>
          <w:sz w:val="32"/>
          <w:szCs w:val="32"/>
          <w:u w:val="none" w:color="auto"/>
          <w:lang w:eastAsia="zh-CN"/>
        </w:rPr>
        <w:t>大病保险</w:t>
      </w:r>
      <w:r>
        <w:rPr>
          <w:rFonts w:hint="eastAsia" w:ascii="仿宋_GB2312" w:hAnsi="Times New Roman" w:eastAsia="仿宋_GB2312" w:cs="Times New Roman"/>
          <w:b w:val="0"/>
          <w:bCs w:val="0"/>
          <w:color w:val="auto"/>
          <w:spacing w:val="-6"/>
          <w:sz w:val="32"/>
          <w:szCs w:val="32"/>
          <w:u w:val="none" w:color="auto"/>
          <w:lang w:val="en-US" w:eastAsia="zh-CN"/>
        </w:rPr>
        <w:t>支付</w:t>
      </w:r>
      <w:r>
        <w:rPr>
          <w:rFonts w:hint="eastAsia" w:ascii="仿宋_GB2312" w:hAnsi="Times New Roman" w:eastAsia="仿宋_GB2312" w:cs="Times New Roman"/>
          <w:b w:val="0"/>
          <w:bCs w:val="0"/>
          <w:color w:val="auto"/>
          <w:spacing w:val="-6"/>
          <w:sz w:val="32"/>
          <w:szCs w:val="32"/>
          <w:u w:val="none" w:color="auto"/>
          <w:lang w:eastAsia="zh-CN"/>
        </w:rPr>
        <w:t>范围与基本医保基金支付范围保持一致。</w:t>
      </w:r>
      <w:r>
        <w:rPr>
          <w:rFonts w:hint="default" w:ascii="Times New Roman" w:hAnsi="Times New Roman" w:cs="Times New Roman"/>
          <w:b w:val="0"/>
          <w:bCs w:val="0"/>
          <w:color w:val="auto"/>
          <w:spacing w:val="0"/>
        </w:rPr>
        <w:t>参保人员在定点医疗机构发生的住院医疗费用和门诊特殊</w:t>
      </w:r>
      <w:r>
        <w:rPr>
          <w:rFonts w:hint="default" w:ascii="Times New Roman" w:hAnsi="Times New Roman" w:cs="Times New Roman"/>
          <w:b w:val="0"/>
          <w:bCs w:val="0"/>
          <w:color w:val="auto"/>
          <w:spacing w:val="0"/>
          <w:lang w:val="en-US" w:eastAsia="zh-CN"/>
        </w:rPr>
        <w:t>疾病</w:t>
      </w:r>
      <w:r>
        <w:rPr>
          <w:rFonts w:hint="default" w:ascii="Times New Roman" w:hAnsi="Times New Roman" w:cs="Times New Roman"/>
          <w:b w:val="0"/>
          <w:bCs w:val="0"/>
          <w:color w:val="auto"/>
          <w:spacing w:val="0"/>
        </w:rPr>
        <w:t>费用，经基本医保</w:t>
      </w:r>
      <w:r>
        <w:rPr>
          <w:rFonts w:hint="eastAsia" w:ascii="Times New Roman" w:hAnsi="Times New Roman" w:cs="Times New Roman"/>
          <w:b w:val="0"/>
          <w:bCs w:val="0"/>
          <w:color w:val="auto"/>
          <w:spacing w:val="0"/>
          <w:lang w:val="en-US" w:eastAsia="zh-CN"/>
        </w:rPr>
        <w:t>支付</w:t>
      </w:r>
      <w:r>
        <w:rPr>
          <w:rFonts w:hint="default" w:ascii="Times New Roman" w:hAnsi="Times New Roman" w:cs="Times New Roman"/>
          <w:b w:val="0"/>
          <w:bCs w:val="0"/>
          <w:color w:val="auto"/>
          <w:spacing w:val="0"/>
        </w:rPr>
        <w:t>后，政策范围内个人自付费用按规定纳入大病保险起付线计算及支付范围。基本医保门诊慢性病、异地就医降比例自付费用、超限价自付费用以及按基本医保政策规定不予支付的其他医疗费用暂不纳入大病保险起付线计算及支付范围。基本医保乙类先行自付费用按一定比例纳入大病保险起付线计算及支付范围。</w:t>
      </w:r>
    </w:p>
    <w:p w14:paraId="2205A93E">
      <w:pPr>
        <w:keepNext w:val="0"/>
        <w:keepLines w:val="0"/>
        <w:pageBreakBefore w:val="0"/>
        <w:widowControl w:val="0"/>
        <w:kinsoku/>
        <w:wordWrap/>
        <w:overflowPunct/>
        <w:topLinePunct w:val="0"/>
        <w:autoSpaceDE w:val="0"/>
        <w:autoSpaceDN w:val="0"/>
        <w:bidi w:val="0"/>
        <w:adjustRightInd w:val="0"/>
        <w:snapToGrid w:val="0"/>
        <w:spacing w:line="578" w:lineRule="exact"/>
        <w:ind w:left="663"/>
        <w:textAlignment w:val="baseline"/>
        <w:outlineLvl w:val="1"/>
        <w:rPr>
          <w:rFonts w:hint="default" w:ascii="Times New Roman" w:hAnsi="Times New Roman" w:eastAsia="黑体" w:cs="Times New Roman"/>
          <w:b w:val="0"/>
          <w:bCs w:val="0"/>
          <w:color w:val="auto"/>
          <w:spacing w:val="0"/>
          <w:sz w:val="31"/>
          <w:szCs w:val="31"/>
        </w:rPr>
      </w:pPr>
      <w:r>
        <w:rPr>
          <w:rFonts w:hint="default" w:ascii="Times New Roman" w:hAnsi="Times New Roman" w:eastAsia="黑体" w:cs="Times New Roman"/>
          <w:b w:val="0"/>
          <w:bCs w:val="0"/>
          <w:color w:val="auto"/>
          <w:spacing w:val="0"/>
          <w:sz w:val="31"/>
          <w:szCs w:val="31"/>
          <w:lang w:val="en-US" w:eastAsia="zh-CN"/>
        </w:rPr>
        <w:t>三</w:t>
      </w:r>
      <w:r>
        <w:rPr>
          <w:rFonts w:hint="default" w:ascii="Times New Roman" w:hAnsi="Times New Roman" w:eastAsia="黑体" w:cs="Times New Roman"/>
          <w:b w:val="0"/>
          <w:bCs w:val="0"/>
          <w:color w:val="auto"/>
          <w:spacing w:val="0"/>
          <w:sz w:val="31"/>
          <w:szCs w:val="31"/>
        </w:rPr>
        <w:t>、合理设置待遇标准</w:t>
      </w:r>
    </w:p>
    <w:p w14:paraId="0041E5FC">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13" w:firstLine="660"/>
        <w:textAlignment w:val="baseline"/>
        <w:rPr>
          <w:rFonts w:hint="default" w:ascii="Times New Roman" w:hAnsi="Times New Roman" w:cs="Times New Roman"/>
          <w:b w:val="0"/>
          <w:bCs w:val="0"/>
          <w:color w:val="auto"/>
          <w:spacing w:val="0"/>
        </w:rPr>
      </w:pPr>
      <w:r>
        <w:rPr>
          <w:rFonts w:hint="default" w:ascii="Times New Roman" w:hAnsi="Times New Roman" w:eastAsia="KaiTi_GB2312" w:cs="Times New Roman"/>
          <w:b w:val="0"/>
          <w:bCs w:val="0"/>
          <w:color w:val="auto"/>
          <w:spacing w:val="0"/>
        </w:rPr>
        <w:t>（一）起付标准。</w:t>
      </w:r>
      <w:r>
        <w:rPr>
          <w:rFonts w:hint="default" w:ascii="Times New Roman" w:hAnsi="Times New Roman" w:cs="Times New Roman"/>
          <w:b w:val="0"/>
          <w:bCs w:val="0"/>
          <w:color w:val="auto"/>
          <w:spacing w:val="0"/>
        </w:rPr>
        <w:t>大病保险起付标准原则上按我市上一年度城乡居民人均可支配收入的 50%确定</w:t>
      </w:r>
      <w:r>
        <w:rPr>
          <w:rFonts w:hint="eastAsia" w:ascii="Times New Roman" w:hAnsi="Times New Roman" w:cs="Times New Roman"/>
          <w:b w:val="0"/>
          <w:bCs w:val="0"/>
          <w:color w:val="auto"/>
          <w:spacing w:val="0"/>
          <w:lang w:eastAsia="zh-CN"/>
        </w:rPr>
        <w:t>，</w:t>
      </w:r>
      <w:r>
        <w:rPr>
          <w:rFonts w:hint="eastAsia" w:ascii="仿宋_GB2312" w:eastAsia="仿宋_GB2312"/>
          <w:b w:val="0"/>
          <w:bCs w:val="0"/>
          <w:color w:val="auto"/>
          <w:spacing w:val="0"/>
          <w:sz w:val="32"/>
          <w:szCs w:val="32"/>
          <w:u w:val="none" w:color="auto"/>
        </w:rPr>
        <w:t>起付标准</w:t>
      </w:r>
      <w:r>
        <w:rPr>
          <w:rFonts w:hint="eastAsia" w:ascii="仿宋_GB2312" w:eastAsia="仿宋_GB2312"/>
          <w:b w:val="0"/>
          <w:bCs w:val="0"/>
          <w:color w:val="auto"/>
          <w:spacing w:val="0"/>
          <w:sz w:val="32"/>
          <w:szCs w:val="32"/>
          <w:u w:val="none" w:color="auto"/>
          <w:lang w:eastAsia="zh-CN"/>
        </w:rPr>
        <w:t>按</w:t>
      </w:r>
      <w:r>
        <w:rPr>
          <w:rFonts w:hint="eastAsia" w:ascii="仿宋_GB2312" w:eastAsia="仿宋_GB2312"/>
          <w:b w:val="0"/>
          <w:bCs w:val="0"/>
          <w:color w:val="auto"/>
          <w:spacing w:val="0"/>
          <w:sz w:val="32"/>
          <w:szCs w:val="32"/>
          <w:u w:val="none" w:color="auto"/>
        </w:rPr>
        <w:t>年度累计计算</w:t>
      </w:r>
      <w:r>
        <w:rPr>
          <w:rFonts w:hint="eastAsia" w:ascii="仿宋_GB2312" w:eastAsia="仿宋_GB2312"/>
          <w:b w:val="0"/>
          <w:bCs w:val="0"/>
          <w:color w:val="auto"/>
          <w:spacing w:val="0"/>
          <w:sz w:val="32"/>
          <w:szCs w:val="32"/>
          <w:u w:val="none" w:color="auto"/>
          <w:lang w:eastAsia="zh-CN"/>
        </w:rPr>
        <w:t>。一个自然年度的结算以出院时间为准。</w:t>
      </w:r>
      <w:r>
        <w:rPr>
          <w:rFonts w:hint="default" w:ascii="Times New Roman" w:hAnsi="Times New Roman" w:eastAsia="仿宋_GB2312" w:cs="Times New Roman"/>
          <w:b w:val="0"/>
          <w:bCs w:val="0"/>
          <w:color w:val="auto"/>
          <w:spacing w:val="0"/>
          <w:sz w:val="32"/>
          <w:szCs w:val="32"/>
        </w:rPr>
        <w:t>对</w:t>
      </w:r>
      <w:r>
        <w:rPr>
          <w:rFonts w:hint="eastAsia" w:ascii="Times New Roman" w:hAnsi="Times New Roman" w:eastAsia="仿宋_GB2312" w:cs="Times New Roman"/>
          <w:b w:val="0"/>
          <w:bCs w:val="0"/>
          <w:color w:val="auto"/>
          <w:spacing w:val="0"/>
          <w:sz w:val="32"/>
          <w:szCs w:val="32"/>
          <w:lang w:val="en-US" w:eastAsia="zh-CN"/>
        </w:rPr>
        <w:t>参加居民医保的</w:t>
      </w:r>
      <w:r>
        <w:rPr>
          <w:rFonts w:hint="default" w:ascii="Times New Roman" w:hAnsi="Times New Roman" w:eastAsia="仿宋_GB2312" w:cs="Times New Roman"/>
          <w:b w:val="0"/>
          <w:bCs w:val="0"/>
          <w:color w:val="auto"/>
          <w:spacing w:val="0"/>
          <w:sz w:val="32"/>
          <w:szCs w:val="32"/>
        </w:rPr>
        <w:t>特困人员、孤儿、低保对象</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起付</w:t>
      </w:r>
      <w:r>
        <w:rPr>
          <w:rFonts w:hint="eastAsia" w:ascii="Times New Roman" w:hAnsi="Times New Roman" w:eastAsia="仿宋_GB2312" w:cs="Times New Roman"/>
          <w:b w:val="0"/>
          <w:bCs w:val="0"/>
          <w:color w:val="auto"/>
          <w:spacing w:val="0"/>
          <w:sz w:val="32"/>
          <w:szCs w:val="32"/>
          <w:lang w:val="en-US" w:eastAsia="zh-CN"/>
        </w:rPr>
        <w:t>标准</w:t>
      </w:r>
      <w:r>
        <w:rPr>
          <w:rFonts w:hint="default" w:ascii="Times New Roman" w:hAnsi="Times New Roman" w:eastAsia="仿宋_GB2312" w:cs="Times New Roman"/>
          <w:b w:val="0"/>
          <w:bCs w:val="0"/>
          <w:color w:val="auto"/>
          <w:spacing w:val="0"/>
          <w:sz w:val="32"/>
          <w:szCs w:val="32"/>
        </w:rPr>
        <w:t>降低50%。</w:t>
      </w:r>
      <w:r>
        <w:rPr>
          <w:rFonts w:hint="eastAsia" w:ascii="Times New Roman" w:hAnsi="Times New Roman" w:eastAsia="仿宋_GB2312" w:cs="Times New Roman"/>
          <w:b w:val="0"/>
          <w:bCs w:val="0"/>
          <w:color w:val="auto"/>
          <w:spacing w:val="0"/>
          <w:sz w:val="32"/>
          <w:szCs w:val="32"/>
          <w:lang w:eastAsia="zh-CN"/>
        </w:rPr>
        <w:t>每一年度末，</w:t>
      </w:r>
      <w:r>
        <w:rPr>
          <w:rFonts w:hint="eastAsia" w:ascii="Times New Roman" w:hAnsi="Times New Roman" w:eastAsia="仿宋_GB2312" w:cs="Times New Roman"/>
          <w:b w:val="0"/>
          <w:bCs w:val="0"/>
          <w:color w:val="auto"/>
          <w:spacing w:val="0"/>
          <w:sz w:val="32"/>
          <w:szCs w:val="32"/>
          <w:lang w:val="en-US" w:eastAsia="zh-CN"/>
        </w:rPr>
        <w:t>市</w:t>
      </w:r>
      <w:r>
        <w:rPr>
          <w:rFonts w:hint="eastAsia" w:ascii="Times New Roman" w:hAnsi="Times New Roman" w:eastAsia="仿宋_GB2312" w:cs="Times New Roman"/>
          <w:b w:val="0"/>
          <w:bCs w:val="0"/>
          <w:color w:val="auto"/>
          <w:spacing w:val="0"/>
          <w:sz w:val="32"/>
          <w:szCs w:val="32"/>
          <w:lang w:eastAsia="zh-CN"/>
        </w:rPr>
        <w:t>医保</w:t>
      </w:r>
      <w:r>
        <w:rPr>
          <w:rFonts w:hint="eastAsia" w:ascii="Times New Roman" w:hAnsi="Times New Roman" w:eastAsia="仿宋_GB2312" w:cs="Times New Roman"/>
          <w:b w:val="0"/>
          <w:bCs w:val="0"/>
          <w:color w:val="auto"/>
          <w:spacing w:val="0"/>
          <w:sz w:val="32"/>
          <w:szCs w:val="32"/>
          <w:lang w:val="en-US" w:eastAsia="zh-CN"/>
        </w:rPr>
        <w:t>局</w:t>
      </w:r>
      <w:r>
        <w:rPr>
          <w:rFonts w:hint="eastAsia"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市财政局</w:t>
      </w:r>
      <w:r>
        <w:rPr>
          <w:rFonts w:hint="eastAsia" w:ascii="Times New Roman" w:hAnsi="Times New Roman" w:eastAsia="仿宋_GB2312" w:cs="Times New Roman"/>
          <w:b w:val="0"/>
          <w:bCs w:val="0"/>
          <w:color w:val="auto"/>
          <w:spacing w:val="0"/>
          <w:sz w:val="32"/>
          <w:szCs w:val="32"/>
          <w:lang w:eastAsia="zh-CN"/>
        </w:rPr>
        <w:t>根据统计部门最新公布的达州市居民人均可支配收入标准，调整下一年度城乡居民大病保险起付</w:t>
      </w:r>
      <w:r>
        <w:rPr>
          <w:rFonts w:hint="eastAsia" w:ascii="Times New Roman" w:hAnsi="Times New Roman" w:eastAsia="仿宋_GB2312" w:cs="Times New Roman"/>
          <w:b w:val="0"/>
          <w:bCs w:val="0"/>
          <w:color w:val="auto"/>
          <w:spacing w:val="0"/>
          <w:sz w:val="32"/>
          <w:szCs w:val="32"/>
          <w:lang w:val="en-US" w:eastAsia="zh-CN"/>
        </w:rPr>
        <w:t>标准</w:t>
      </w:r>
      <w:r>
        <w:rPr>
          <w:rFonts w:hint="eastAsia" w:ascii="Times New Roman" w:hAnsi="Times New Roman" w:eastAsia="仿宋_GB2312" w:cs="Times New Roman"/>
          <w:b w:val="0"/>
          <w:bCs w:val="0"/>
          <w:color w:val="auto"/>
          <w:spacing w:val="0"/>
          <w:sz w:val="32"/>
          <w:szCs w:val="32"/>
          <w:lang w:eastAsia="zh-CN"/>
        </w:rPr>
        <w:t>。</w:t>
      </w:r>
    </w:p>
    <w:p w14:paraId="2FF6C69F">
      <w:pPr>
        <w:pStyle w:val="3"/>
        <w:keepNext w:val="0"/>
        <w:keepLines w:val="0"/>
        <w:pageBreakBefore w:val="0"/>
        <w:widowControl w:val="0"/>
        <w:kinsoku/>
        <w:wordWrap/>
        <w:overflowPunct/>
        <w:topLinePunct w:val="0"/>
        <w:autoSpaceDE w:val="0"/>
        <w:autoSpaceDN w:val="0"/>
        <w:bidi w:val="0"/>
        <w:adjustRightInd w:val="0"/>
        <w:snapToGrid w:val="0"/>
        <w:spacing w:line="578" w:lineRule="exact"/>
        <w:ind w:left="14" w:right="39" w:firstLine="620" w:firstLineChars="200"/>
        <w:jc w:val="left"/>
        <w:textAlignment w:val="baseline"/>
        <w:rPr>
          <w:rFonts w:hint="eastAsia" w:ascii="Times New Roman" w:hAnsi="Times New Roman" w:eastAsia="仿宋_GB2312" w:cs="Times New Roman"/>
          <w:b w:val="0"/>
          <w:bCs w:val="0"/>
          <w:color w:val="auto"/>
          <w:spacing w:val="0"/>
          <w:lang w:eastAsia="zh-CN"/>
        </w:rPr>
      </w:pPr>
      <w:r>
        <w:rPr>
          <w:rFonts w:hint="default" w:ascii="Times New Roman" w:hAnsi="Times New Roman" w:eastAsia="KaiTi_GB2312" w:cs="Times New Roman"/>
          <w:b w:val="0"/>
          <w:bCs w:val="0"/>
          <w:color w:val="auto"/>
          <w:spacing w:val="0"/>
        </w:rPr>
        <w:t>（二）</w:t>
      </w:r>
      <w:r>
        <w:rPr>
          <w:rFonts w:hint="eastAsia" w:ascii="Times New Roman" w:hAnsi="Times New Roman" w:eastAsia="KaiTi_GB2312" w:cs="Times New Roman"/>
          <w:b w:val="0"/>
          <w:bCs w:val="0"/>
          <w:color w:val="auto"/>
          <w:spacing w:val="0"/>
          <w:lang w:val="en-US" w:eastAsia="zh-CN"/>
        </w:rPr>
        <w:t>支付</w:t>
      </w:r>
      <w:r>
        <w:rPr>
          <w:rFonts w:hint="default" w:ascii="Times New Roman" w:hAnsi="Times New Roman" w:eastAsia="KaiTi_GB2312" w:cs="Times New Roman"/>
          <w:b w:val="0"/>
          <w:bCs w:val="0"/>
          <w:color w:val="auto"/>
          <w:spacing w:val="0"/>
        </w:rPr>
        <w:t>比例。</w:t>
      </w:r>
      <w:r>
        <w:rPr>
          <w:rFonts w:hint="eastAsia" w:ascii="仿宋_GB2312" w:hAnsi="Times New Roman" w:eastAsia="仿宋_GB2312" w:cs="Times New Roman"/>
          <w:b w:val="0"/>
          <w:bCs w:val="0"/>
          <w:color w:val="auto"/>
          <w:spacing w:val="6"/>
          <w:kern w:val="0"/>
          <w:sz w:val="32"/>
          <w:szCs w:val="32"/>
          <w:u w:val="none" w:color="auto"/>
          <w:lang w:val="en-US" w:eastAsia="zh-CN"/>
        </w:rPr>
        <w:t>一个自然年度内，符合大病保险支付范围的费用，扣除起付标准后</w:t>
      </w:r>
      <w:r>
        <w:rPr>
          <w:rFonts w:hint="default" w:ascii="仿宋_GB2312" w:hAnsi="Times New Roman" w:eastAsia="仿宋_GB2312" w:cs="Times New Roman"/>
          <w:b w:val="0"/>
          <w:bCs w:val="0"/>
          <w:color w:val="auto"/>
          <w:spacing w:val="6"/>
          <w:kern w:val="0"/>
          <w:sz w:val="32"/>
          <w:szCs w:val="32"/>
          <w:u w:val="none" w:color="auto"/>
          <w:lang w:val="en-US" w:eastAsia="zh-CN"/>
        </w:rPr>
        <w:t>分段累进支付，</w:t>
      </w:r>
      <w:r>
        <w:rPr>
          <w:rFonts w:hint="default" w:ascii="Times New Roman" w:hAnsi="Times New Roman" w:cs="Times New Roman"/>
          <w:b w:val="0"/>
          <w:bCs w:val="0"/>
          <w:color w:val="auto"/>
          <w:spacing w:val="0"/>
        </w:rPr>
        <w:t>0 至 5万元（含）按 60%</w:t>
      </w:r>
      <w:r>
        <w:rPr>
          <w:rFonts w:hint="eastAsia" w:ascii="Times New Roman" w:hAnsi="Times New Roman" w:cs="Times New Roman"/>
          <w:b w:val="0"/>
          <w:bCs w:val="0"/>
          <w:color w:val="auto"/>
          <w:spacing w:val="0"/>
          <w:lang w:val="en-US" w:eastAsia="zh-CN"/>
        </w:rPr>
        <w:t>支付</w:t>
      </w:r>
      <w:r>
        <w:rPr>
          <w:rFonts w:hint="default" w:ascii="Times New Roman" w:hAnsi="Times New Roman" w:cs="Times New Roman"/>
          <w:b w:val="0"/>
          <w:bCs w:val="0"/>
          <w:color w:val="auto"/>
          <w:spacing w:val="0"/>
        </w:rPr>
        <w:t>，</w:t>
      </w:r>
      <w:r>
        <w:rPr>
          <w:rFonts w:hint="default" w:ascii="Times New Roman" w:hAnsi="Times New Roman" w:cs="Times New Roman"/>
          <w:b w:val="0"/>
          <w:bCs w:val="0"/>
          <w:color w:val="auto"/>
          <w:spacing w:val="0"/>
        </w:rPr>
        <w:t>5 万元以上至 10 万元（含）按 70%</w:t>
      </w:r>
      <w:r>
        <w:rPr>
          <w:rFonts w:hint="eastAsia" w:ascii="Times New Roman" w:hAnsi="Times New Roman" w:cs="Times New Roman"/>
          <w:b w:val="0"/>
          <w:bCs w:val="0"/>
          <w:color w:val="auto"/>
          <w:spacing w:val="0"/>
          <w:lang w:val="en-US" w:eastAsia="zh-CN"/>
        </w:rPr>
        <w:t>支付</w:t>
      </w:r>
      <w:r>
        <w:rPr>
          <w:rFonts w:hint="default" w:ascii="Times New Roman" w:hAnsi="Times New Roman" w:cs="Times New Roman"/>
          <w:b w:val="0"/>
          <w:bCs w:val="0"/>
          <w:color w:val="auto"/>
          <w:spacing w:val="0"/>
        </w:rPr>
        <w:t>，</w:t>
      </w:r>
      <w:r>
        <w:rPr>
          <w:rFonts w:hint="default" w:ascii="Times New Roman" w:hAnsi="Times New Roman" w:cs="Times New Roman"/>
          <w:b w:val="0"/>
          <w:bCs w:val="0"/>
          <w:color w:val="auto"/>
          <w:spacing w:val="0"/>
        </w:rPr>
        <w:t>10 万元以上按 80%</w:t>
      </w:r>
      <w:r>
        <w:rPr>
          <w:rFonts w:hint="eastAsia" w:ascii="Times New Roman" w:hAnsi="Times New Roman" w:cs="Times New Roman"/>
          <w:b w:val="0"/>
          <w:bCs w:val="0"/>
          <w:color w:val="auto"/>
          <w:spacing w:val="0"/>
          <w:lang w:val="en-US" w:eastAsia="zh-CN"/>
        </w:rPr>
        <w:t>支付</w:t>
      </w:r>
      <w:r>
        <w:rPr>
          <w:rFonts w:hint="default" w:ascii="Times New Roman" w:hAnsi="Times New Roman" w:cs="Times New Roman"/>
          <w:b w:val="0"/>
          <w:bCs w:val="0"/>
          <w:color w:val="auto"/>
          <w:spacing w:val="0"/>
        </w:rPr>
        <w:t>。</w:t>
      </w:r>
      <w:r>
        <w:rPr>
          <w:rFonts w:hint="default" w:ascii="Times New Roman" w:hAnsi="Times New Roman" w:eastAsia="仿宋_GB2312" w:cs="Times New Roman"/>
          <w:b w:val="0"/>
          <w:bCs w:val="0"/>
          <w:color w:val="auto"/>
          <w:spacing w:val="0"/>
          <w:sz w:val="32"/>
          <w:szCs w:val="32"/>
        </w:rPr>
        <w:t>对</w:t>
      </w:r>
      <w:r>
        <w:rPr>
          <w:rFonts w:hint="eastAsia" w:ascii="Times New Roman" w:hAnsi="Times New Roman" w:eastAsia="仿宋_GB2312" w:cs="Times New Roman"/>
          <w:b w:val="0"/>
          <w:bCs w:val="0"/>
          <w:color w:val="auto"/>
          <w:spacing w:val="0"/>
          <w:sz w:val="32"/>
          <w:szCs w:val="32"/>
          <w:lang w:val="en-US" w:eastAsia="zh-CN"/>
        </w:rPr>
        <w:t>参加居民医保的</w:t>
      </w:r>
      <w:r>
        <w:rPr>
          <w:rFonts w:hint="default" w:ascii="Times New Roman" w:hAnsi="Times New Roman" w:eastAsia="仿宋_GB2312" w:cs="Times New Roman"/>
          <w:b w:val="0"/>
          <w:bCs w:val="0"/>
          <w:color w:val="auto"/>
          <w:spacing w:val="0"/>
          <w:sz w:val="32"/>
          <w:szCs w:val="32"/>
        </w:rPr>
        <w:t>特困人员、孤儿、低保对象</w:t>
      </w:r>
      <w:r>
        <w:rPr>
          <w:rFonts w:hint="eastAsia"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支付</w:t>
      </w:r>
      <w:r>
        <w:rPr>
          <w:rFonts w:hint="default" w:ascii="Times New Roman" w:hAnsi="Times New Roman" w:eastAsia="仿宋_GB2312" w:cs="Times New Roman"/>
          <w:b w:val="0"/>
          <w:bCs w:val="0"/>
          <w:color w:val="auto"/>
          <w:spacing w:val="0"/>
          <w:sz w:val="32"/>
          <w:szCs w:val="32"/>
        </w:rPr>
        <w:t>比例提高5个百分点</w:t>
      </w:r>
      <w:r>
        <w:rPr>
          <w:rFonts w:hint="eastAsia" w:ascii="Times New Roman" w:hAnsi="Times New Roman" w:eastAsia="仿宋_GB2312" w:cs="Times New Roman"/>
          <w:b w:val="0"/>
          <w:bCs w:val="0"/>
          <w:color w:val="auto"/>
          <w:spacing w:val="0"/>
          <w:sz w:val="32"/>
          <w:szCs w:val="32"/>
          <w:lang w:eastAsia="zh-CN"/>
        </w:rPr>
        <w:t>。</w:t>
      </w:r>
    </w:p>
    <w:p w14:paraId="63C62B90">
      <w:pPr>
        <w:pStyle w:val="3"/>
        <w:keepNext w:val="0"/>
        <w:keepLines w:val="0"/>
        <w:pageBreakBefore w:val="0"/>
        <w:widowControl w:val="0"/>
        <w:kinsoku/>
        <w:wordWrap/>
        <w:overflowPunct/>
        <w:topLinePunct w:val="0"/>
        <w:autoSpaceDE w:val="0"/>
        <w:autoSpaceDN w:val="0"/>
        <w:bidi w:val="0"/>
        <w:adjustRightInd w:val="0"/>
        <w:snapToGrid w:val="0"/>
        <w:spacing w:line="578" w:lineRule="exact"/>
        <w:ind w:left="14" w:right="40" w:firstLine="646"/>
        <w:textAlignment w:val="baseline"/>
        <w:rPr>
          <w:rFonts w:hint="default" w:ascii="Times New Roman" w:hAnsi="Times New Roman" w:cs="Times New Roman"/>
          <w:b w:val="0"/>
          <w:bCs w:val="0"/>
          <w:color w:val="auto"/>
          <w:spacing w:val="0"/>
        </w:rPr>
      </w:pPr>
      <w:r>
        <w:rPr>
          <w:rFonts w:hint="default" w:ascii="Times New Roman" w:hAnsi="Times New Roman" w:eastAsia="KaiTi_GB2312" w:cs="Times New Roman"/>
          <w:b w:val="0"/>
          <w:bCs w:val="0"/>
          <w:color w:val="auto"/>
          <w:spacing w:val="0"/>
        </w:rPr>
        <w:t>（三）年度最高支付限额。</w:t>
      </w:r>
      <w:r>
        <w:rPr>
          <w:rFonts w:hint="default" w:ascii="Times New Roman" w:hAnsi="Times New Roman" w:cs="Times New Roman"/>
          <w:b w:val="0"/>
          <w:bCs w:val="0"/>
          <w:color w:val="auto"/>
          <w:spacing w:val="0"/>
        </w:rPr>
        <w:t>大病保险年度最高支付限额为 30 万元/人 ·年。</w:t>
      </w:r>
    </w:p>
    <w:p w14:paraId="0E8E8336">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40" w:firstLine="661"/>
        <w:textAlignment w:val="baseline"/>
        <w:rPr>
          <w:rFonts w:hint="default" w:ascii="Times New Roman" w:hAnsi="Times New Roman" w:cs="Times New Roman"/>
          <w:b w:val="0"/>
          <w:bCs w:val="0"/>
          <w:color w:val="auto"/>
          <w:spacing w:val="0"/>
        </w:rPr>
      </w:pPr>
      <w:r>
        <w:rPr>
          <w:rFonts w:hint="default" w:ascii="Times New Roman" w:hAnsi="Times New Roman" w:eastAsia="KaiTi_GB2312" w:cs="Times New Roman"/>
          <w:b w:val="0"/>
          <w:bCs w:val="0"/>
          <w:color w:val="auto"/>
          <w:spacing w:val="0"/>
        </w:rPr>
        <w:t>（四）乙类先行自付费用纳入比例。</w:t>
      </w:r>
      <w:r>
        <w:rPr>
          <w:rFonts w:hint="default" w:ascii="Times New Roman" w:hAnsi="Times New Roman" w:cs="Times New Roman"/>
          <w:b w:val="0"/>
          <w:bCs w:val="0"/>
          <w:color w:val="auto"/>
          <w:spacing w:val="0"/>
        </w:rPr>
        <w:t>基本医保乙类先行自付费用 2026 年起按</w:t>
      </w:r>
      <w:r>
        <w:rPr>
          <w:rFonts w:hint="eastAsia" w:ascii="Times New Roman" w:hAnsi="Times New Roman" w:cs="Times New Roman"/>
          <w:b w:val="0"/>
          <w:bCs w:val="0"/>
          <w:color w:val="auto"/>
          <w:spacing w:val="0"/>
          <w:lang w:val="en-US" w:eastAsia="zh-CN"/>
        </w:rPr>
        <w:t>5</w:t>
      </w:r>
      <w:r>
        <w:rPr>
          <w:rFonts w:hint="default" w:ascii="Times New Roman" w:hAnsi="Times New Roman" w:cs="Times New Roman"/>
          <w:b w:val="0"/>
          <w:bCs w:val="0"/>
          <w:color w:val="auto"/>
          <w:spacing w:val="0"/>
        </w:rPr>
        <w:t>0%计入大病保险</w:t>
      </w:r>
      <w:r>
        <w:rPr>
          <w:rFonts w:hint="eastAsia" w:ascii="Times New Roman" w:hAnsi="Times New Roman" w:cs="Times New Roman"/>
          <w:b w:val="0"/>
          <w:bCs w:val="0"/>
          <w:color w:val="auto"/>
          <w:spacing w:val="0"/>
          <w:lang w:val="en-US" w:eastAsia="zh-CN"/>
        </w:rPr>
        <w:t>支付范围</w:t>
      </w:r>
      <w:r>
        <w:rPr>
          <w:rFonts w:hint="eastAsia" w:ascii="Times New Roman" w:hAnsi="Times New Roman" w:cs="Times New Roman"/>
          <w:b w:val="0"/>
          <w:bCs w:val="0"/>
          <w:color w:val="auto"/>
          <w:spacing w:val="0"/>
          <w:lang w:eastAsia="zh-CN"/>
        </w:rPr>
        <w:t>。</w:t>
      </w:r>
      <w:r>
        <w:rPr>
          <w:rFonts w:hint="eastAsia" w:ascii="Times New Roman" w:hAnsi="Times New Roman" w:cs="Times New Roman"/>
          <w:b w:val="0"/>
          <w:bCs w:val="0"/>
          <w:color w:val="auto"/>
          <w:spacing w:val="0"/>
          <w:lang w:val="en-US" w:eastAsia="zh-CN"/>
        </w:rPr>
        <w:t>市医保局、市财政局</w:t>
      </w:r>
      <w:r>
        <w:rPr>
          <w:rFonts w:hint="default" w:ascii="Times New Roman" w:hAnsi="Times New Roman" w:cs="Times New Roman"/>
          <w:b w:val="0"/>
          <w:bCs w:val="0"/>
          <w:color w:val="auto"/>
          <w:spacing w:val="0"/>
        </w:rPr>
        <w:t>根据基金运行情况适时调整纳入比例。</w:t>
      </w:r>
    </w:p>
    <w:p w14:paraId="3BAA9995">
      <w:pPr>
        <w:keepNext w:val="0"/>
        <w:keepLines w:val="0"/>
        <w:pageBreakBefore w:val="0"/>
        <w:widowControl w:val="0"/>
        <w:kinsoku/>
        <w:wordWrap/>
        <w:overflowPunct/>
        <w:topLinePunct w:val="0"/>
        <w:autoSpaceDE w:val="0"/>
        <w:autoSpaceDN w:val="0"/>
        <w:bidi w:val="0"/>
        <w:adjustRightInd w:val="0"/>
        <w:snapToGrid w:val="0"/>
        <w:spacing w:before="207" w:line="226" w:lineRule="auto"/>
        <w:ind w:left="654"/>
        <w:textAlignment w:val="baseline"/>
        <w:outlineLvl w:val="1"/>
        <w:rPr>
          <w:rFonts w:hint="default" w:ascii="Times New Roman" w:hAnsi="Times New Roman" w:eastAsia="黑体" w:cs="Times New Roman"/>
          <w:b w:val="0"/>
          <w:bCs w:val="0"/>
          <w:color w:val="auto"/>
          <w:spacing w:val="0"/>
          <w:sz w:val="31"/>
          <w:szCs w:val="31"/>
        </w:rPr>
      </w:pPr>
      <w:r>
        <w:rPr>
          <w:rFonts w:hint="eastAsia" w:ascii="Times New Roman" w:hAnsi="Times New Roman" w:eastAsia="黑体" w:cs="Times New Roman"/>
          <w:b w:val="0"/>
          <w:bCs w:val="0"/>
          <w:color w:val="auto"/>
          <w:spacing w:val="0"/>
          <w:sz w:val="31"/>
          <w:szCs w:val="31"/>
          <w:lang w:val="en-US" w:eastAsia="zh-CN"/>
        </w:rPr>
        <w:t>四</w:t>
      </w:r>
      <w:r>
        <w:rPr>
          <w:rFonts w:hint="default" w:ascii="Times New Roman" w:hAnsi="Times New Roman" w:eastAsia="黑体" w:cs="Times New Roman"/>
          <w:b w:val="0"/>
          <w:bCs w:val="0"/>
          <w:color w:val="auto"/>
          <w:spacing w:val="0"/>
          <w:sz w:val="31"/>
          <w:szCs w:val="31"/>
        </w:rPr>
        <w:t>、</w:t>
      </w:r>
      <w:r>
        <w:rPr>
          <w:rFonts w:ascii="黑体" w:hAnsi="黑体" w:eastAsia="黑体" w:cs="黑体"/>
          <w:b w:val="0"/>
          <w:bCs w:val="0"/>
          <w:color w:val="auto"/>
          <w:spacing w:val="7"/>
          <w:sz w:val="31"/>
          <w:szCs w:val="31"/>
        </w:rPr>
        <w:t>稳步优化承办机制</w:t>
      </w:r>
    </w:p>
    <w:p w14:paraId="269AC4EA">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40" w:firstLine="661"/>
        <w:textAlignment w:val="baseline"/>
        <w:rPr>
          <w:b w:val="0"/>
          <w:bCs w:val="0"/>
          <w:color w:val="auto"/>
        </w:rPr>
      </w:pPr>
      <w:r>
        <w:rPr>
          <w:rFonts w:hint="default" w:ascii="Times New Roman" w:hAnsi="Times New Roman" w:cs="Times New Roman"/>
          <w:b w:val="0"/>
          <w:bCs w:val="0"/>
          <w:color w:val="auto"/>
          <w:spacing w:val="0"/>
        </w:rPr>
        <w:t>通过政府采购公开招标确定承办大病保险业务的商业保险机构</w:t>
      </w:r>
      <w:r>
        <w:rPr>
          <w:rFonts w:hint="eastAsia" w:ascii="Times New Roman" w:hAnsi="Times New Roman" w:cs="Times New Roman"/>
          <w:b w:val="0"/>
          <w:bCs w:val="0"/>
          <w:color w:val="auto"/>
          <w:spacing w:val="0"/>
          <w:lang w:eastAsia="zh-CN"/>
        </w:rPr>
        <w:t>，</w:t>
      </w:r>
      <w:r>
        <w:rPr>
          <w:rFonts w:hint="default" w:ascii="Times New Roman" w:hAnsi="Times New Roman" w:cs="Times New Roman"/>
          <w:b w:val="0"/>
          <w:bCs w:val="0"/>
          <w:color w:val="auto"/>
          <w:spacing w:val="0"/>
        </w:rPr>
        <w:t>医保经办机构与中标商业保险机构签署承办合同，明确双方的责任、权利和义务</w:t>
      </w:r>
      <w:r>
        <w:rPr>
          <w:rFonts w:hint="eastAsia" w:ascii="Times New Roman" w:hAnsi="Times New Roman" w:cs="Times New Roman"/>
          <w:b w:val="0"/>
          <w:bCs w:val="0"/>
          <w:color w:val="auto"/>
          <w:spacing w:val="0"/>
        </w:rPr>
        <w:t>。大病保险合作期限为3年</w:t>
      </w:r>
      <w:r>
        <w:rPr>
          <w:rFonts w:hint="eastAsia" w:ascii="Times New Roman" w:hAnsi="Times New Roman" w:cs="Times New Roman"/>
          <w:b w:val="0"/>
          <w:bCs w:val="0"/>
          <w:color w:val="auto"/>
          <w:spacing w:val="0"/>
          <w:lang w:eastAsia="zh-CN"/>
        </w:rPr>
        <w:t>，</w:t>
      </w:r>
      <w:r>
        <w:rPr>
          <w:rFonts w:hint="eastAsia" w:ascii="Times New Roman" w:hAnsi="Times New Roman" w:cs="Times New Roman"/>
          <w:b w:val="0"/>
          <w:bCs w:val="0"/>
          <w:color w:val="auto"/>
          <w:spacing w:val="0"/>
        </w:rPr>
        <w:t>在大病保险合作期限内，保险合同一年一签，合同内容需要调整的，应严格规范调整程序。商业保险机构承办居民大病保险获得的保费实行单独核算，确保资金安全，保证偿付能力。</w:t>
      </w:r>
      <w:r>
        <w:rPr>
          <w:rFonts w:hint="eastAsia" w:ascii="Times New Roman" w:hAnsi="Times New Roman" w:cs="Times New Roman"/>
          <w:b w:val="0"/>
          <w:bCs w:val="0"/>
          <w:color w:val="auto"/>
          <w:spacing w:val="0"/>
          <w:lang w:val="en-US" w:eastAsia="zh-CN"/>
        </w:rPr>
        <w:t>要</w:t>
      </w:r>
      <w:r>
        <w:rPr>
          <w:rFonts w:hint="eastAsia" w:ascii="Times New Roman" w:hAnsi="Times New Roman" w:cs="Times New Roman"/>
          <w:b w:val="0"/>
          <w:bCs w:val="0"/>
          <w:color w:val="auto"/>
          <w:spacing w:val="0"/>
        </w:rPr>
        <w:t>切实加强管理，控制风险，降低管理成本，提升服务效率，加快结算速度，依规及时、足额向医疗机构支付医疗费用。</w:t>
      </w:r>
      <w:r>
        <w:rPr>
          <w:b w:val="0"/>
          <w:bCs w:val="0"/>
          <w:color w:val="auto"/>
          <w:spacing w:val="13"/>
        </w:rPr>
        <w:t>医保部门要完善对承办大病保险商业保险</w:t>
      </w:r>
      <w:r>
        <w:rPr>
          <w:b w:val="0"/>
          <w:bCs w:val="0"/>
          <w:color w:val="auto"/>
          <w:spacing w:val="5"/>
        </w:rPr>
        <w:t>机构的考核评估机制，大病保险资金划拨要与考核评估结果挂钩，</w:t>
      </w:r>
      <w:r>
        <w:rPr>
          <w:b w:val="0"/>
          <w:bCs w:val="0"/>
          <w:color w:val="auto"/>
          <w:spacing w:val="13"/>
        </w:rPr>
        <w:t>对于考核达到标准的按进度分批次拨付、按年足额清算</w:t>
      </w:r>
      <w:r>
        <w:rPr>
          <w:b w:val="0"/>
          <w:bCs w:val="0"/>
          <w:color w:val="auto"/>
          <w:spacing w:val="8"/>
        </w:rPr>
        <w:t>。</w:t>
      </w:r>
    </w:p>
    <w:p w14:paraId="577C6C2B">
      <w:pPr>
        <w:keepNext w:val="0"/>
        <w:keepLines w:val="0"/>
        <w:pageBreakBefore w:val="0"/>
        <w:widowControl w:val="0"/>
        <w:kinsoku/>
        <w:wordWrap/>
        <w:overflowPunct/>
        <w:topLinePunct w:val="0"/>
        <w:autoSpaceDE w:val="0"/>
        <w:autoSpaceDN w:val="0"/>
        <w:bidi w:val="0"/>
        <w:adjustRightInd w:val="0"/>
        <w:snapToGrid w:val="0"/>
        <w:spacing w:line="578" w:lineRule="exact"/>
        <w:ind w:left="654"/>
        <w:textAlignment w:val="baseline"/>
        <w:outlineLvl w:val="1"/>
        <w:rPr>
          <w:rFonts w:ascii="黑体" w:hAnsi="黑体" w:eastAsia="黑体" w:cs="黑体"/>
          <w:b w:val="0"/>
          <w:bCs w:val="0"/>
          <w:color w:val="auto"/>
          <w:sz w:val="31"/>
          <w:szCs w:val="31"/>
        </w:rPr>
      </w:pPr>
      <w:r>
        <w:rPr>
          <w:rFonts w:hint="eastAsia" w:ascii="黑体" w:hAnsi="黑体" w:eastAsia="黑体" w:cs="黑体"/>
          <w:b w:val="0"/>
          <w:bCs w:val="0"/>
          <w:color w:val="auto"/>
          <w:spacing w:val="7"/>
          <w:sz w:val="31"/>
          <w:szCs w:val="31"/>
          <w:lang w:val="en-US" w:eastAsia="zh-CN"/>
        </w:rPr>
        <w:t>五</w:t>
      </w:r>
      <w:r>
        <w:rPr>
          <w:rFonts w:ascii="黑体" w:hAnsi="黑体" w:eastAsia="黑体" w:cs="黑体"/>
          <w:b w:val="0"/>
          <w:bCs w:val="0"/>
          <w:color w:val="auto"/>
          <w:spacing w:val="7"/>
          <w:sz w:val="31"/>
          <w:szCs w:val="31"/>
        </w:rPr>
        <w:t>、提高管理服务能力</w:t>
      </w:r>
    </w:p>
    <w:p w14:paraId="7B47019A">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cs="Times New Roman"/>
          <w:b w:val="0"/>
          <w:bCs w:val="0"/>
          <w:color w:val="auto"/>
          <w:spacing w:val="0"/>
          <w:kern w:val="2"/>
          <w:sz w:val="32"/>
          <w:szCs w:val="32"/>
          <w:u w:val="none" w:color="auto"/>
          <w:lang w:val="en-US" w:eastAsia="zh-CN" w:bidi="ar-SA"/>
        </w:rPr>
      </w:pPr>
      <w:r>
        <w:rPr>
          <w:rFonts w:hint="eastAsia" w:ascii="楷体_GB2312" w:hAnsi="楷体_GB2312" w:eastAsia="楷体_GB2312" w:cs="楷体_GB2312"/>
          <w:b w:val="0"/>
          <w:bCs w:val="0"/>
          <w:color w:val="auto"/>
          <w:spacing w:val="0"/>
          <w:kern w:val="0"/>
          <w:sz w:val="32"/>
          <w:szCs w:val="32"/>
          <w:u w:val="none" w:color="auto"/>
          <w:lang w:val="en-US" w:eastAsia="zh-CN"/>
        </w:rPr>
        <w:t>（一）提升经办管理服务。</w:t>
      </w:r>
      <w:r>
        <w:rPr>
          <w:rFonts w:hint="eastAsia" w:ascii="仿宋_GB2312" w:eastAsia="仿宋_GB2312" w:cs="Times New Roman"/>
          <w:b w:val="0"/>
          <w:bCs w:val="0"/>
          <w:color w:val="auto"/>
          <w:spacing w:val="0"/>
          <w:kern w:val="2"/>
          <w:sz w:val="32"/>
          <w:szCs w:val="32"/>
          <w:u w:val="none" w:color="auto"/>
          <w:lang w:eastAsia="zh-CN" w:bidi="ar-SA"/>
        </w:rPr>
        <w:t>大病保险的药品目录、诊疗项目目录和医疗服务设施目录、耗材目录等管理，按照我市基本医疗保险有关规定执行。</w:t>
      </w:r>
      <w:r>
        <w:rPr>
          <w:rFonts w:hint="eastAsia" w:ascii="仿宋_GB2312" w:eastAsia="仿宋_GB2312" w:cs="Times New Roman"/>
          <w:b w:val="0"/>
          <w:bCs w:val="0"/>
          <w:color w:val="auto"/>
          <w:spacing w:val="0"/>
          <w:kern w:val="2"/>
          <w:sz w:val="32"/>
          <w:szCs w:val="32"/>
          <w:u w:val="none" w:color="auto"/>
          <w:lang w:bidi="ar-SA"/>
        </w:rPr>
        <w:t>医疗保障经办机构</w:t>
      </w:r>
      <w:r>
        <w:rPr>
          <w:rFonts w:hint="eastAsia" w:ascii="仿宋_GB2312" w:eastAsia="仿宋_GB2312" w:cs="Times New Roman"/>
          <w:b w:val="0"/>
          <w:bCs w:val="0"/>
          <w:color w:val="auto"/>
          <w:spacing w:val="0"/>
          <w:kern w:val="2"/>
          <w:sz w:val="32"/>
          <w:szCs w:val="32"/>
          <w:u w:val="none" w:color="auto"/>
          <w:lang w:eastAsia="zh-CN" w:bidi="ar-SA"/>
        </w:rPr>
        <w:t>和商业保险承办机构要</w:t>
      </w:r>
      <w:r>
        <w:rPr>
          <w:rFonts w:hint="eastAsia" w:ascii="仿宋_GB2312" w:eastAsia="仿宋_GB2312" w:cs="Times New Roman"/>
          <w:b w:val="0"/>
          <w:bCs w:val="0"/>
          <w:color w:val="auto"/>
          <w:spacing w:val="0"/>
          <w:kern w:val="2"/>
          <w:sz w:val="32"/>
          <w:szCs w:val="32"/>
          <w:u w:val="none" w:color="auto"/>
          <w:lang w:bidi="ar-SA"/>
        </w:rPr>
        <w:t>建立健全</w:t>
      </w:r>
      <w:r>
        <w:rPr>
          <w:rFonts w:hint="eastAsia" w:ascii="仿宋_GB2312" w:eastAsia="仿宋_GB2312" w:cs="Times New Roman"/>
          <w:b w:val="0"/>
          <w:bCs w:val="0"/>
          <w:color w:val="auto"/>
          <w:spacing w:val="0"/>
          <w:kern w:val="2"/>
          <w:sz w:val="32"/>
          <w:szCs w:val="32"/>
          <w:u w:val="none" w:color="auto"/>
          <w:lang w:eastAsia="zh-CN" w:bidi="ar-SA"/>
        </w:rPr>
        <w:t>大病保险</w:t>
      </w:r>
      <w:r>
        <w:rPr>
          <w:rFonts w:hint="eastAsia" w:ascii="仿宋_GB2312" w:eastAsia="仿宋_GB2312" w:cs="Times New Roman"/>
          <w:b w:val="0"/>
          <w:bCs w:val="0"/>
          <w:color w:val="auto"/>
          <w:spacing w:val="0"/>
          <w:kern w:val="2"/>
          <w:sz w:val="32"/>
          <w:szCs w:val="32"/>
          <w:u w:val="none" w:color="auto"/>
          <w:lang w:bidi="ar-SA"/>
        </w:rPr>
        <w:t>业务、财务、安全和风险管理制度，优化经办服务流程，提升经办服务效能。</w:t>
      </w:r>
    </w:p>
    <w:p w14:paraId="07EC28A3">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b w:val="0"/>
          <w:bCs w:val="0"/>
          <w:color w:val="auto"/>
          <w:spacing w:val="0"/>
          <w:kern w:val="2"/>
          <w:sz w:val="32"/>
          <w:szCs w:val="32"/>
          <w:u w:val="none" w:color="auto"/>
          <w:lang w:eastAsia="zh-CN" w:bidi="ar-SA"/>
        </w:rPr>
      </w:pPr>
      <w:r>
        <w:rPr>
          <w:rFonts w:hint="eastAsia" w:ascii="楷体_GB2312" w:hAnsi="楷体_GB2312" w:eastAsia="楷体_GB2312" w:cs="楷体_GB2312"/>
          <w:b w:val="0"/>
          <w:bCs w:val="0"/>
          <w:color w:val="auto"/>
          <w:spacing w:val="0"/>
          <w:kern w:val="0"/>
          <w:sz w:val="32"/>
          <w:szCs w:val="32"/>
          <w:u w:val="none" w:color="auto"/>
          <w:lang w:val="en-US" w:eastAsia="zh-CN"/>
        </w:rPr>
        <w:t>（二）强化风险监测预警。</w:t>
      </w:r>
      <w:r>
        <w:rPr>
          <w:rFonts w:hint="eastAsia" w:ascii="仿宋_GB2312" w:eastAsia="仿宋_GB2312" w:cs="Times New Roman"/>
          <w:b w:val="0"/>
          <w:bCs w:val="0"/>
          <w:color w:val="auto"/>
          <w:spacing w:val="0"/>
          <w:kern w:val="2"/>
          <w:sz w:val="32"/>
          <w:szCs w:val="32"/>
          <w:u w:val="none" w:color="auto"/>
          <w:lang w:eastAsia="zh-CN" w:bidi="ar-SA"/>
        </w:rPr>
        <w:t>完善因病致贫返贫风险防范机制，</w:t>
      </w:r>
      <w:r>
        <w:rPr>
          <w:rFonts w:hint="eastAsia" w:ascii="仿宋_GB2312" w:hAnsi="Times New Roman" w:eastAsia="仿宋_GB2312" w:cs="Times New Roman"/>
          <w:b w:val="0"/>
          <w:bCs w:val="0"/>
          <w:color w:val="auto"/>
          <w:spacing w:val="0"/>
          <w:sz w:val="32"/>
          <w:szCs w:val="32"/>
          <w:u w:val="none" w:color="auto"/>
          <w:lang w:eastAsia="zh-CN"/>
        </w:rPr>
        <w:t>建立资金运行监测预警机制和高额医疗费用监测机制，</w:t>
      </w:r>
      <w:r>
        <w:rPr>
          <w:rFonts w:hint="eastAsia" w:ascii="仿宋_GB2312" w:eastAsia="仿宋_GB2312" w:cs="Times New Roman"/>
          <w:b w:val="0"/>
          <w:bCs w:val="0"/>
          <w:color w:val="auto"/>
          <w:spacing w:val="0"/>
          <w:kern w:val="2"/>
          <w:sz w:val="32"/>
          <w:szCs w:val="32"/>
          <w:u w:val="none" w:color="auto"/>
          <w:lang w:eastAsia="zh-CN" w:bidi="ar-SA"/>
        </w:rPr>
        <w:t>对久治不愈的困难群众给予特别关注和关心</w:t>
      </w:r>
      <w:r>
        <w:rPr>
          <w:rFonts w:hint="eastAsia" w:ascii="仿宋_GB2312" w:hAnsi="Times New Roman" w:eastAsia="仿宋_GB2312" w:cs="Times New Roman"/>
          <w:b w:val="0"/>
          <w:bCs w:val="0"/>
          <w:color w:val="auto"/>
          <w:spacing w:val="0"/>
          <w:kern w:val="2"/>
          <w:sz w:val="32"/>
          <w:szCs w:val="32"/>
          <w:u w:val="none" w:color="auto"/>
          <w:lang w:eastAsia="zh-CN" w:bidi="ar-SA"/>
        </w:rPr>
        <w:t>，加强对罹患重特大疾病困难群众诊疗情况和费用负担的预警监测。</w:t>
      </w:r>
    </w:p>
    <w:p w14:paraId="1691677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eastAsia="仿宋_GB2312" w:cs="Times New Roman"/>
          <w:b w:val="0"/>
          <w:bCs w:val="0"/>
          <w:color w:val="auto"/>
          <w:spacing w:val="0"/>
          <w:kern w:val="2"/>
          <w:sz w:val="32"/>
          <w:szCs w:val="32"/>
          <w:u w:val="none" w:color="auto"/>
          <w:lang w:val="en-US" w:eastAsia="zh-CN" w:bidi="ar-SA"/>
        </w:rPr>
      </w:pPr>
      <w:r>
        <w:rPr>
          <w:rFonts w:hint="eastAsia" w:ascii="楷体_GB2312" w:hAnsi="楷体_GB2312" w:eastAsia="楷体_GB2312" w:cs="楷体_GB2312"/>
          <w:b w:val="0"/>
          <w:bCs w:val="0"/>
          <w:color w:val="auto"/>
          <w:spacing w:val="0"/>
          <w:kern w:val="0"/>
          <w:sz w:val="32"/>
          <w:szCs w:val="32"/>
          <w:u w:val="none" w:color="auto"/>
          <w:lang w:val="en-US" w:eastAsia="zh-CN"/>
        </w:rPr>
        <w:t>（三）保障基金安全稳定运行。</w:t>
      </w:r>
      <w:r>
        <w:rPr>
          <w:rFonts w:hint="eastAsia" w:ascii="仿宋_GB2312" w:hAnsi="Times New Roman" w:eastAsia="仿宋_GB2312" w:cs="Times New Roman"/>
          <w:b w:val="0"/>
          <w:bCs w:val="0"/>
          <w:color w:val="auto"/>
          <w:spacing w:val="0"/>
          <w:sz w:val="32"/>
          <w:szCs w:val="32"/>
          <w:u w:val="none" w:color="auto"/>
          <w:lang w:val="en-US" w:eastAsia="zh-CN"/>
        </w:rPr>
        <w:t>严格落实对连续参保和零报销人员的大病保险待遇激励举措。持续深化DRG支付方式改革，规范医疗机构诊疗行为，多措并举开展监督检查，利用智能监管、追溯码、三医联动、跨区域协作等强化监管，保障基金安全。</w:t>
      </w:r>
    </w:p>
    <w:p w14:paraId="78CBE515">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b w:val="0"/>
          <w:bCs w:val="0"/>
          <w:color w:val="auto"/>
          <w:spacing w:val="0"/>
          <w:sz w:val="32"/>
          <w:szCs w:val="32"/>
          <w:u w:val="none" w:color="auto"/>
          <w:lang w:val="en-US" w:eastAsia="zh-CN"/>
        </w:rPr>
      </w:pPr>
      <w:r>
        <w:rPr>
          <w:rFonts w:hint="eastAsia" w:ascii="仿宋_GB2312" w:hAnsi="Times New Roman" w:eastAsia="仿宋_GB2312" w:cs="Times New Roman"/>
          <w:b w:val="0"/>
          <w:bCs w:val="0"/>
          <w:color w:val="auto"/>
          <w:spacing w:val="0"/>
          <w:sz w:val="32"/>
          <w:szCs w:val="32"/>
          <w:u w:val="none" w:color="auto"/>
          <w:lang w:val="en-US" w:eastAsia="zh-CN"/>
        </w:rPr>
        <w:t>本通知自2026年</w:t>
      </w:r>
      <w:r>
        <w:rPr>
          <w:rFonts w:hint="default" w:ascii="仿宋_GB2312" w:hAnsi="Times New Roman" w:eastAsia="仿宋_GB2312" w:cs="Times New Roman"/>
          <w:b w:val="0"/>
          <w:bCs w:val="0"/>
          <w:color w:val="auto"/>
          <w:spacing w:val="0"/>
          <w:sz w:val="32"/>
          <w:szCs w:val="32"/>
          <w:u w:val="none" w:color="auto"/>
          <w:lang w:val="en-US" w:eastAsia="zh-CN"/>
        </w:rPr>
        <w:t xml:space="preserve">  </w:t>
      </w:r>
      <w:r>
        <w:rPr>
          <w:rFonts w:hint="eastAsia" w:ascii="仿宋_GB2312" w:hAnsi="Times New Roman" w:eastAsia="仿宋_GB2312" w:cs="Times New Roman"/>
          <w:b w:val="0"/>
          <w:bCs w:val="0"/>
          <w:color w:val="auto"/>
          <w:spacing w:val="0"/>
          <w:sz w:val="32"/>
          <w:szCs w:val="32"/>
          <w:u w:val="none" w:color="auto"/>
          <w:lang w:val="en-US" w:eastAsia="zh-CN"/>
        </w:rPr>
        <w:t>月</w:t>
      </w:r>
      <w:r>
        <w:rPr>
          <w:rFonts w:hint="default" w:ascii="仿宋_GB2312" w:hAnsi="Times New Roman" w:eastAsia="仿宋_GB2312" w:cs="Times New Roman"/>
          <w:b w:val="0"/>
          <w:bCs w:val="0"/>
          <w:color w:val="auto"/>
          <w:spacing w:val="0"/>
          <w:sz w:val="32"/>
          <w:szCs w:val="32"/>
          <w:u w:val="none" w:color="auto"/>
          <w:lang w:val="en-US" w:eastAsia="zh-CN"/>
        </w:rPr>
        <w:t xml:space="preserve">  </w:t>
      </w:r>
      <w:r>
        <w:rPr>
          <w:rFonts w:hint="eastAsia" w:ascii="仿宋_GB2312" w:hAnsi="Times New Roman" w:eastAsia="仿宋_GB2312" w:cs="Times New Roman"/>
          <w:b w:val="0"/>
          <w:bCs w:val="0"/>
          <w:color w:val="auto"/>
          <w:spacing w:val="0"/>
          <w:sz w:val="32"/>
          <w:szCs w:val="32"/>
          <w:u w:val="none" w:color="auto"/>
          <w:lang w:val="en-US" w:eastAsia="zh-CN"/>
        </w:rPr>
        <w:t>日起施行。既往相关规定与本通知不一致的，以本通知为准。施行期间如国家和省有新规定，从其规定。</w:t>
      </w:r>
      <w:bookmarkStart w:id="0" w:name="ContentEnd"/>
      <w:bookmarkEnd w:id="0"/>
    </w:p>
    <w:p w14:paraId="7D6BF73F">
      <w:pPr>
        <w:pStyle w:val="3"/>
        <w:keepNext w:val="0"/>
        <w:keepLines w:val="0"/>
        <w:pageBreakBefore w:val="0"/>
        <w:widowControl w:val="0"/>
        <w:kinsoku/>
        <w:wordWrap/>
        <w:overflowPunct/>
        <w:topLinePunct w:val="0"/>
        <w:autoSpaceDE w:val="0"/>
        <w:autoSpaceDN w:val="0"/>
        <w:bidi w:val="0"/>
        <w:adjustRightInd w:val="0"/>
        <w:snapToGrid w:val="0"/>
        <w:spacing w:line="578" w:lineRule="exact"/>
        <w:ind w:right="40" w:firstLine="661"/>
        <w:textAlignment w:val="baseline"/>
        <w:rPr>
          <w:rFonts w:hint="default" w:ascii="Times New Roman" w:hAnsi="Times New Roman" w:cs="Times New Roman"/>
          <w:b w:val="0"/>
          <w:bCs w:val="0"/>
          <w:color w:val="auto"/>
          <w:spacing w:val="0"/>
        </w:rPr>
      </w:pPr>
    </w:p>
    <w:sectPr>
      <w:footerReference r:id="rId5" w:type="default"/>
      <w:pgSz w:w="11906" w:h="16839"/>
      <w:pgMar w:top="2098" w:right="1474" w:bottom="1984" w:left="1587" w:header="0" w:footer="79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89C6D8-CAF7-4EB9-8118-47AAB6663F11}"/>
  </w:font>
  <w:font w:name="黑体">
    <w:panose1 w:val="02010609060101010101"/>
    <w:charset w:val="86"/>
    <w:family w:val="auto"/>
    <w:pitch w:val="default"/>
    <w:sig w:usb0="800002BF" w:usb1="38CF7CFA" w:usb2="00000016" w:usb3="00000000" w:csb0="00040001" w:csb1="00000000"/>
    <w:embedRegular r:id="rId2" w:fontKey="{0321B393-32EE-43FB-B41E-042AA27D9D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embedRegular r:id="rId3" w:fontKey="{60D21377-3991-4CDA-AFDF-09970EF37D9B}"/>
  </w:font>
  <w:font w:name="仿宋_GB2312">
    <w:panose1 w:val="02010609030101010101"/>
    <w:charset w:val="86"/>
    <w:family w:val="auto"/>
    <w:pitch w:val="default"/>
    <w:sig w:usb0="00000001" w:usb1="080E0000" w:usb2="00000000" w:usb3="00000000" w:csb0="00040000" w:csb1="00000000"/>
    <w:embedRegular r:id="rId4" w:fontKey="{5CE44F59-56D9-423F-934D-2B91CF53CCDF}"/>
  </w:font>
  <w:font w:name="方正小标宋简体">
    <w:panose1 w:val="02000000000000000000"/>
    <w:charset w:val="86"/>
    <w:family w:val="auto"/>
    <w:pitch w:val="default"/>
    <w:sig w:usb0="00000001" w:usb1="080E0000" w:usb2="00000000" w:usb3="00000000" w:csb0="00040000" w:csb1="00000000"/>
    <w:embedRegular r:id="rId5" w:fontKey="{89D8107A-8AA2-4745-92D8-1AB3FD27C141}"/>
  </w:font>
  <w:font w:name="KaiTi_GB2312">
    <w:altName w:val="楷体"/>
    <w:panose1 w:val="02010609030101010101"/>
    <w:charset w:val="86"/>
    <w:family w:val="auto"/>
    <w:pitch w:val="default"/>
    <w:sig w:usb0="00000000" w:usb1="00000000" w:usb2="00000000" w:usb3="00000000" w:csb0="00040000" w:csb1="00000000"/>
    <w:embedRegular r:id="rId6" w:fontKey="{8DD6CC10-AD28-45EA-98A1-88DA9EC0BB57}"/>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7" w:fontKey="{5344FE62-041F-4015-9DF6-B1314B9CE1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E484">
    <w:pPr>
      <w:spacing w:line="235" w:lineRule="auto"/>
      <w:ind w:left="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72DE5">
                          <w:pPr>
                            <w:pStyle w:val="4"/>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872DE5">
                    <w:pPr>
                      <w:pStyle w:val="4"/>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183790"/>
    <w:rsid w:val="0BAB2F40"/>
    <w:rsid w:val="1763479D"/>
    <w:rsid w:val="1E412C4D"/>
    <w:rsid w:val="20B02989"/>
    <w:rsid w:val="2B531936"/>
    <w:rsid w:val="2D085772"/>
    <w:rsid w:val="3D40293A"/>
    <w:rsid w:val="3DB52637"/>
    <w:rsid w:val="57096C68"/>
    <w:rsid w:val="6B154AFE"/>
    <w:rsid w:val="6C9D2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宋体" w:hAnsi="宋体" w:cs="宋体"/>
      <w:spacing w:val="6"/>
      <w:kern w:val="2"/>
      <w:sz w:val="32"/>
      <w:szCs w:val="32"/>
      <w:lang w:val="zh-CN" w:eastAsia="zh-CN" w:bidi="zh-CN"/>
    </w:rPr>
  </w:style>
  <w:style w:type="paragraph" w:styleId="3">
    <w:name w:val="Body Text"/>
    <w:basedOn w:val="1"/>
    <w:next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1653</Words>
  <Characters>1688</Characters>
  <TotalTime>84</TotalTime>
  <ScaleCrop>false</ScaleCrop>
  <LinksUpToDate>false</LinksUpToDate>
  <CharactersWithSpaces>1711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2025-11-04T11:27:00Z</dcterms:created>
  <dc:creator>guang</dc:creator>
  <cp:lastModifiedBy>天堂向袏转</cp:lastModifiedBy>
  <cp:lastPrinted>2025-12-01T07:48:00Z</cp:lastPrinted>
  <dcterms:modified xsi:type="dcterms:W3CDTF">2025-12-01T08:41:55Z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2025-11-05T17:38:51Z</vt:filetime>
  </property>
  <property fmtid="{D5CDD505-2E9C-101B-9397-08002B2CF9AE}" pid="4" name="KSOTemplateDocerSaveRecord">
    <vt:lpwstr>eyJoZGlkIjoiYWIyMTQ2YjRhYjdjNzYxN2MyMWQwYzQ5NThhYzBiZTgiLCJ1c2VySWQiOiI0NjI4OTI4ODIifQ==</vt:lpwstr>
  </property>
  <property fmtid="{D5CDD505-2E9C-101B-9397-08002B2CF9AE}" pid="5" name="KSOProductBuildVer">
    <vt:lpwstr>2052-12.1.0.23542</vt:lpwstr>
  </property>
  <property fmtid="{D5CDD505-2E9C-101B-9397-08002B2CF9AE}" pid="6" name="ICV">
    <vt:lpwstr>44BB6EC3158C4768B7C8AB2035147FD1_13</vt:lpwstr>
  </property>
</Properties>
</file>