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基本医疗保险参保信息变更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城乡居民参保信息变更登记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一、事项名称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城乡居民参保信息变更登记。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二、发布日期和实施日期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2020-08-27。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三、发布机构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四川省医疗保障局、重庆市医疗保障局。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kern w:val="0"/>
          <w:sz w:val="32"/>
          <w:szCs w:val="28"/>
        </w:rPr>
        <w:t>四、</w:t>
      </w:r>
      <w:r>
        <w:rPr>
          <w:rFonts w:ascii="Times New Roman" w:hAnsi="Times New Roman" w:eastAsia="黑体"/>
          <w:sz w:val="32"/>
          <w:szCs w:val="28"/>
        </w:rPr>
        <w:t>事项编码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四川省：512036001006；重庆市：502036001014。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五、适用范围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四川省、重庆市城乡居民基本医疗保险参保人员。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六、事项类别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公共服务。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七、设立依据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 xml:space="preserve">《中华人民共和国社会保险法》（主席令第35号）第八条、第五十七条。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630" w:leftChars="300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八、受理机构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各级政务服务管理机构（</w:t>
      </w:r>
      <w:r>
        <w:rPr>
          <w:rFonts w:hint="eastAsia" w:ascii="Times New Roman" w:hAnsi="Times New Roman" w:eastAsia="方正仿宋_GBK"/>
          <w:sz w:val="32"/>
          <w:szCs w:val="28"/>
        </w:rPr>
        <w:t>“</w:t>
      </w:r>
      <w:r>
        <w:rPr>
          <w:rFonts w:ascii="Times New Roman" w:hAnsi="Times New Roman" w:eastAsia="方正仿宋_GBK"/>
          <w:sz w:val="32"/>
          <w:szCs w:val="28"/>
        </w:rPr>
        <w:t>川渝通办</w:t>
      </w:r>
      <w:r>
        <w:rPr>
          <w:rFonts w:hint="eastAsia" w:ascii="Times New Roman" w:hAnsi="Times New Roman" w:eastAsia="方正仿宋_GBK"/>
          <w:sz w:val="32"/>
          <w:szCs w:val="28"/>
        </w:rPr>
        <w:t>”</w:t>
      </w:r>
      <w:r>
        <w:rPr>
          <w:rFonts w:ascii="Times New Roman" w:hAnsi="Times New Roman" w:eastAsia="方正仿宋_GBK"/>
          <w:sz w:val="32"/>
          <w:szCs w:val="28"/>
        </w:rPr>
        <w:t>专窗）。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九、决定机构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参保地区医疗保障部门。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十、办理条件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已经参加四川省、重庆市城乡居民基本医疗保险，需要对个人参保登记信息变更、且符合当地办理要求的人员。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十一、申办材料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1．有效身份证件（包括身份证、居住证、户口簿、护照、港澳居民来往内地通行证、港澳台居民居住证、外国人永久居留证）（变更姓名、性别、身份证号、出生日期等关键信息时需提供有效身份证件原件、变更前后对应信息的复印件。A4纸复印件1份）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2．《基本医疗保险城乡居民参保信息变更登记表》（样表见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表</w:t>
      </w:r>
      <w:r>
        <w:rPr>
          <w:rFonts w:hint="eastAsia" w:ascii="Times New Roman" w:hAnsi="Times New Roman" w:eastAsia="方正仿宋_GBK"/>
          <w:sz w:val="32"/>
          <w:szCs w:val="28"/>
        </w:rPr>
        <w:t>4）。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十二、办理方式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1．现场（窗口）办理：两省市各级“川渝通办”专窗。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2．网上办理（网上办理时按要求上传相关附件即可，附件格式包括Word、Excel、PDF、JPG，文件应小于3M）。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四川省：可通过四川医保公共服务网上服务大厅或四川省政务服务网办理；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重庆市：可通过国家医保服务平台或渝快办APP或重庆市医疗保障局微信公众号办理。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十三、办理流程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1．申请：参保人员提交申请材料；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2．受理：经办人员确认申请材料是否符合要求，不符合要求的一次性告知；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3．审核：依据相关政策、法规进行审核；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4．办结：符合条件的办理信息变更。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十四、办理时限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法定办结时限：现场（窗口）办理的在参保地医保经办机构收到申请后当日办结（申办材料寄递预计需要4个工作日，寄递时间不计入法定办结时限），线上办理2个工作日办结。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承诺办结时限：现场（窗口）办理的在参保地医保经办机构收到申请后当日办结（申办材料寄递预计需要4个工作日，寄递时间不计入法定办结时限），线上办理2个工作日办结。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十五、收费依据及标准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不收费。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 xml:space="preserve">十六、结果送达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现场（窗口）办理：由收件地“川渝通办”专窗在受理业务6个工作日后反馈办理结果。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网上办理：2个工作日后通过线上办理渠道自行查询办理结果。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仿宋_GB2312"/>
          <w:spacing w:val="6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十七、咨询方式、办理地址和时间（</w:t>
      </w:r>
      <w:r>
        <w:rPr>
          <w:rFonts w:hint="eastAsia" w:ascii="Times New Roman" w:hAnsi="Times New Roman" w:eastAsia="方正黑体"/>
          <w:sz w:val="32"/>
          <w:szCs w:val="28"/>
          <w:lang w:eastAsia="zh-CN"/>
        </w:rPr>
        <w:t>附后</w:t>
      </w:r>
      <w:r>
        <w:rPr>
          <w:rFonts w:ascii="Times New Roman" w:hAnsi="Times New Roman" w:eastAsia="方正黑体"/>
          <w:sz w:val="32"/>
          <w:szCs w:val="28"/>
        </w:rPr>
        <w:t>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十八、行政救济途径与方式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1．可到当地政务服务大厅咨询反映；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2．可通过12345政务服务便民热线反映。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十九、监督投诉渠道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投诉电话：12345政务服务便民热线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二十、办理进程和结果查询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现场（窗口）办理的可向收件地“川渝通办”专窗查询办理进度和结果，网上办理的可通过网上办理渠道查询办理进程和结果。还可通过拨打参保地咨询电话查询办理结果。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ABB67C-8189-47BA-AE88-1FB7B2CFA1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078E3F6D-56C4-4A22-9CD0-A589F8635787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A46265B-5E24-4E5A-A9EC-0204BB978C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6F90AA-AF19-4C23-8CFC-FC68C2A475EA}"/>
  </w:font>
  <w:font w:name="方正仿宋_GBK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9AA3FCEE-47BE-48E3-8F06-53C2AF6D6E20}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3EE76677-FA28-4B2A-8A6C-EBB6D3F1EA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31FFD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EDD4D62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C23982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2021-11-19T09:44:33Z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