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基本医疗保险关系转移接续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1</w:t>
      </w:r>
      <w:r>
        <w:rPr>
          <w:rFonts w:hint="eastAsia" w:ascii="Times New Roman" w:hAnsi="Times New Roman" w:eastAsia="方正仿宋_GBK"/>
          <w:sz w:val="32"/>
          <w:szCs w:val="28"/>
        </w:rPr>
        <w:t>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单位整体转入转出登记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hint="eastAsia" w:ascii="Times New Roman" w:hAnsi="Times New Roman" w:eastAsia="方正黑体_GBK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一、办理方式：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</w:rPr>
        <w:t>异地代收代办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  <w:shd w:val="clear" w:color="auto" w:fill="FFFFFF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、依据：</w:t>
      </w:r>
      <w:r>
        <w:rPr>
          <w:rFonts w:ascii="Times New Roman" w:hAnsi="Times New Roman" w:eastAsia="方正仿宋_GBK"/>
          <w:sz w:val="32"/>
          <w:szCs w:val="30"/>
        </w:rPr>
        <w:t>《重庆市人民政府办公厅 四川省人民政府办公厅关于印发政务服务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工作规程的通知》。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、流程：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1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就近申请：申请人携带申办材料前往就近政务服务大厅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专窗申请办理。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2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异地代收：两省市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专窗工作人员按照《医保政务服务事项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办事指南》对申请材料进行审查和身份核验，若申请材料不符合要求则出具《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不予受理通知书》并一次性告知；若申请材料符合要求则予以受理，出具《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受理通知书》并列明收件明细。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3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材料流转：代收材料后，收件地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专窗应按照《关于印发政务服务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工作规程的通知》规定的时限和方式将受理材料流转到属地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专窗，属地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专窗再将受理材料分发到医保经办机构。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4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属地办理：属地医保经办机构收到受理材料后，按照审批服务流程，在承诺办结时限内办结。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30"/>
        </w:rPr>
        <w:t>5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结果反馈：属地医保经办机构应及时将办理结果反馈两省市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专窗，再由收件地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专窗将办理结果反馈（送达）申请人</w:t>
      </w:r>
      <w:r>
        <w:rPr>
          <w:rFonts w:hint="eastAsia" w:ascii="Times New Roman" w:hAnsi="Times New Roman" w:eastAsia="方正仿宋_GBK"/>
          <w:sz w:val="32"/>
          <w:szCs w:val="30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DB9CAF8A-4AA0-4369-A7A2-3C6B966B6007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7BB25C5D-0077-4B98-BCD6-576AA65A29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A87D1A-5B0E-4509-93DD-88999BC898E8}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3882F41-78A8-4E36-9795-219E007FD04D}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70AE177-9AD4-45D0-B34B-DA33216D90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EDD4D62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70916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C23982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2021-11-19T09:46:39Z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