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达州市本级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2020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年预算绩效管理工作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eastAsia="zh-CN"/>
        </w:rPr>
        <w:t>情况</w:t>
      </w:r>
    </w:p>
    <w:p>
      <w:pPr>
        <w:spacing w:line="578" w:lineRule="exact"/>
        <w:rPr>
          <w:rFonts w:ascii="Times New Roman" w:hAnsi="Times New Roman" w:eastAsia="方正小标宋简体" w:cs="Times New Roman"/>
          <w:color w:val="000000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年，在市委、市政府正确领导下，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达州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市财政局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全面贯彻落实党的十九大关于“建立全面规范透明、标准科学、约束有力的预算制度，全面实施预算绩效管理”的改革要求，不断强化“花钱必问效、无效必问责”的绩效理念，以“</w:t>
      </w:r>
      <w:r>
        <w:rPr>
          <w:rFonts w:ascii="Times New Roman" w:hAnsi="Times New Roman" w:eastAsia="仿宋_GB2312" w:cs="Times New Roman"/>
          <w:sz w:val="32"/>
          <w:szCs w:val="32"/>
        </w:rPr>
        <w:t>223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”工作法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统揽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推进预算绩效管理，不断</w:t>
      </w:r>
      <w:r>
        <w:rPr>
          <w:rFonts w:hint="eastAsia" w:ascii="Times New Roman" w:hAnsi="Times New Roman" w:eastAsia="仿宋_GB2312" w:cs="仿宋_GB2312"/>
          <w:sz w:val="32"/>
          <w:szCs w:val="32"/>
        </w:rPr>
        <w:t>完善绩效制度机制，加强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绩效目标管理、强化绩效运行监控，持续深化事后绩效评价及结果应用，基本实现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四本预算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全覆盖，初步建立市级绩效指标体系，绩效评价中累计清理结余资金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1.91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亿元，切实提高财政资金配置和使用效益。</w:t>
      </w:r>
    </w:p>
    <w:p>
      <w:pPr>
        <w:spacing w:line="578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不断夯实工作架构和制度体系“2个基础支撑”。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持续完善工作架构。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从市级层面看，建立了由市财政局牵头组织，各预算单位全面实施，第三方机构积极参与的预算绩效管理工作机制，定期分析研判、统筹推进。从财政部门看，构建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“2+2+N”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组织工作架构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：即绩效管理科与预算科“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机构”统筹推进，监督局与评审中心“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机构”业务支撑，“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N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”个支出管理科具体实施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；各县（市、区）财政部门均单独设立绩效管理科（股）室，全市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上下一盘棋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格局初步形成。</w:t>
      </w:r>
      <w:r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</w:rPr>
        <w:t>系统构建制度体系。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我们深入贯彻中央、省、市等关于全面实施预算绩效管理的工作要求，以省委省政府《关于全面实施预算绩效管理的实施意见》（川委发〔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2019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〕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8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号）为总纲，结合达州实际，制定完善了《达州市预算绩效管理工作推进方案》《达州市预算绩效目标管理办法》《达州市市级财政预算绩效结果应用管理办法》《达州市项目支出绩效评价指标体系》《达州市市级部门支出绩效评价指标体系》等“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N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”项配套制度指标，积极构建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“1+N”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预算管理制度体系。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持续强化绩效目标管理和评价结果应用“2个工作抓手”。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强化绩效目标前置。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市本级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229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个市级预算单位开展了绩效目标管理，覆盖率达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100%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目前已初步实现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四本预算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全覆盖，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完成绩效目标与预算同步申报、同步审核、同步批复下达、同步公开“四个同步”。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强化评价结果应用。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印发《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年市级部门整体支出财政重点绩效评价结果的通报》（达市财绩〔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〕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号），将评价结果与次年预算编制和资金安排挂钩，压减低效无效资金，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年在部门整体支出绩效评价得分最低的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个部门，将对其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年部门预算分别压减专项经费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5%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8%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10%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12%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15%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78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牢牢把握事前事中事后“3个关键节点”。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试点开展事前绩效评估。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试点</w:t>
      </w:r>
      <w:r>
        <w:rPr>
          <w:rFonts w:hint="eastAsia" w:ascii="Times New Roman" w:hAnsi="Times New Roman" w:eastAsia="仿宋_GB2312" w:cs="仿宋_GB2312"/>
          <w:sz w:val="32"/>
          <w:szCs w:val="32"/>
        </w:rPr>
        <w:t>对市生态环境局达州市主城区空气环境质量监测网络建设等</w:t>
      </w:r>
      <w:r>
        <w:rPr>
          <w:rFonts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个项目开展事前评估，暂缓实施项目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个（申报资金</w:t>
      </w:r>
      <w:r>
        <w:rPr>
          <w:rFonts w:ascii="Times New Roman" w:hAnsi="Times New Roman" w:eastAsia="仿宋_GB2312" w:cs="Times New Roman"/>
          <w:sz w:val="32"/>
          <w:szCs w:val="32"/>
        </w:rPr>
        <w:t>200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万元），压减项目资金</w:t>
      </w:r>
      <w:r>
        <w:rPr>
          <w:rFonts w:ascii="Times New Roman" w:hAnsi="Times New Roman" w:eastAsia="仿宋_GB2312" w:cs="Times New Roman"/>
          <w:sz w:val="32"/>
          <w:szCs w:val="32"/>
        </w:rPr>
        <w:t>216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万元。</w:t>
      </w:r>
      <w:r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</w:rPr>
        <w:t>有序推进事中绩效监控。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在市级部门全覆盖自监控基础上，持续深化财政重点绩效监控，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年选取了市农业农村局、市住建局等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5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个市级部门开展重点绩效监控。</w:t>
      </w:r>
      <w:r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</w:rPr>
        <w:t>深入开展事后绩效评价。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年在市级部门全覆盖绩效自评的基础上，委托第三方机构组织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5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个评价工作组，共抽取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个市级部门整体支出、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16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个项目支出、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项财政政策支出开展重点绩效评价，共涉及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个现场评价点，财政资金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91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亿元，抽评资金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68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亿元，抽评率为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74.7%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，绩效评价提质扩围。</w:t>
      </w:r>
    </w:p>
    <w:p>
      <w:pPr>
        <w:pStyle w:val="2"/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cs="Times New Roman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  <w:rPr>
                              <w:rFonts w:ascii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>
                          <w:pPr>
                            <w:rPr>
                              <w:rFonts w:ascii="宋体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FgAAAGRycy9QSwECFAAUAAAACACHTuJAs0lY7tAAAAAFAQAADwAAAAAAAAABACAAAAA4AAAAZHJz&#10;L2Rvd25yZXYueG1sUEsBAhQAFAAAAAgAh07iQJINoBq9AQAAXQMAAA4AAAAAAAAAAQAgAAAANQ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  <w:rPr>
                        <w:rFonts w:ascii="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  <w:p>
                    <w:pPr>
                      <w:rPr>
                        <w:rFonts w:ascii="宋体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  <w:jc w:val="center"/>
      <w:rPr>
        <w:rFonts w:ascii="宋体" w:cs="Times New Roman"/>
        <w:sz w:val="28"/>
        <w:szCs w:val="28"/>
      </w:rPr>
    </w:pPr>
  </w:p>
  <w:p>
    <w:pPr>
      <w:pStyle w:val="5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17810"/>
    <w:rsid w:val="00021D92"/>
    <w:rsid w:val="00030678"/>
    <w:rsid w:val="000C372A"/>
    <w:rsid w:val="001B5634"/>
    <w:rsid w:val="00274BE4"/>
    <w:rsid w:val="00332E67"/>
    <w:rsid w:val="003639B0"/>
    <w:rsid w:val="00517CAF"/>
    <w:rsid w:val="00584C6A"/>
    <w:rsid w:val="00613AA0"/>
    <w:rsid w:val="00620B39"/>
    <w:rsid w:val="006E1DAB"/>
    <w:rsid w:val="007B2135"/>
    <w:rsid w:val="007F4DE7"/>
    <w:rsid w:val="008245CA"/>
    <w:rsid w:val="008503E6"/>
    <w:rsid w:val="009353DB"/>
    <w:rsid w:val="00972B9D"/>
    <w:rsid w:val="009B0428"/>
    <w:rsid w:val="00B227B9"/>
    <w:rsid w:val="00B53B9A"/>
    <w:rsid w:val="00D51673"/>
    <w:rsid w:val="00D53398"/>
    <w:rsid w:val="00DB15C6"/>
    <w:rsid w:val="00DD1B9A"/>
    <w:rsid w:val="00E67CA3"/>
    <w:rsid w:val="00F74B59"/>
    <w:rsid w:val="044A054F"/>
    <w:rsid w:val="0BD92748"/>
    <w:rsid w:val="0DC739DB"/>
    <w:rsid w:val="13B13886"/>
    <w:rsid w:val="155A068D"/>
    <w:rsid w:val="29CE1E8D"/>
    <w:rsid w:val="2C2178F1"/>
    <w:rsid w:val="2CC17810"/>
    <w:rsid w:val="2E6C1E61"/>
    <w:rsid w:val="303126D2"/>
    <w:rsid w:val="30D37788"/>
    <w:rsid w:val="381A0B8A"/>
    <w:rsid w:val="3ED459A5"/>
    <w:rsid w:val="4AB205F7"/>
    <w:rsid w:val="4FFFBFAC"/>
    <w:rsid w:val="5192237D"/>
    <w:rsid w:val="5DEA3489"/>
    <w:rsid w:val="60846D5C"/>
    <w:rsid w:val="60873649"/>
    <w:rsid w:val="6C5404A3"/>
    <w:rsid w:val="6FB52976"/>
    <w:rsid w:val="70241EA9"/>
    <w:rsid w:val="77DD48C8"/>
    <w:rsid w:val="7E566E41"/>
    <w:rsid w:val="DF2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9"/>
    <w:pPr>
      <w:spacing w:line="240" w:lineRule="atLeast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qFormat/>
    <w:uiPriority w:val="99"/>
    <w:pPr>
      <w:spacing w:before="190"/>
      <w:ind w:left="780" w:right="824"/>
    </w:pPr>
    <w:rPr>
      <w:sz w:val="32"/>
      <w:szCs w:val="32"/>
    </w:r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9">
    <w:name w:val="Heading 2 Char"/>
    <w:basedOn w:val="8"/>
    <w:link w:val="2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0">
    <w:name w:val="Body Text Char"/>
    <w:basedOn w:val="8"/>
    <w:link w:val="3"/>
    <w:semiHidden/>
    <w:qFormat/>
    <w:locked/>
    <w:uiPriority w:val="99"/>
    <w:rPr>
      <w:sz w:val="21"/>
      <w:szCs w:val="21"/>
    </w:rPr>
  </w:style>
  <w:style w:type="character" w:customStyle="1" w:styleId="11">
    <w:name w:val="Footer Char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2">
    <w:name w:val="Header Char"/>
    <w:basedOn w:val="8"/>
    <w:link w:val="6"/>
    <w:semiHidden/>
    <w:qFormat/>
    <w:locked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Balloon Text Char"/>
    <w:basedOn w:val="8"/>
    <w:link w:val="4"/>
    <w:semiHidden/>
    <w:qFormat/>
    <w:locked/>
    <w:uiPriority w:val="99"/>
    <w:rPr>
      <w:rFonts w:ascii="Calibri" w:hAnsi="Calibri" w:cs="Calibri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4</Pages>
  <Words>277</Words>
  <Characters>1582</Characters>
  <Lines>0</Lines>
  <Paragraphs>0</Paragraphs>
  <TotalTime>7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2020-11-07T02:32:00Z</dcterms:created>
  <dc:creator>李建</dc:creator>
  <cp:lastModifiedBy>李建</cp:lastModifiedBy>
  <cp:lastPrinted>2022-09-14T02:52:00Z</cp:lastPrinted>
  <dcterms:modified xsi:type="dcterms:W3CDTF">2022-09-13T15:28:13Z</dcterms:modified>
  <dc:title>达州市财政局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DEB1082921D04FD5A08E519851FBBDFE</vt:lpwstr>
  </property>
</Properties>
</file>