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E946">
      <w:pPr>
        <w:autoSpaceDE w:val="0"/>
        <w:autoSpaceDN w:val="0"/>
        <w:spacing w:line="579" w:lineRule="exact"/>
        <w:ind w:left="-199" w:leftChars="-95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21E8CE9F">
      <w:pPr>
        <w:autoSpaceDE w:val="0"/>
        <w:autoSpaceDN w:val="0"/>
        <w:spacing w:line="579" w:lineRule="exact"/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达州市“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庆新年迎新春欢乐贺岁购（GO）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”消费券发放机构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征选评分标准</w:t>
      </w:r>
      <w:bookmarkStart w:id="0" w:name="_GoBack"/>
      <w:bookmarkEnd w:id="0"/>
    </w:p>
    <w:p w14:paraId="2AD2EDFE">
      <w:pPr>
        <w:pStyle w:val="3"/>
      </w:pPr>
    </w:p>
    <w:tbl>
      <w:tblPr>
        <w:tblStyle w:val="7"/>
        <w:tblW w:w="9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72"/>
        <w:gridCol w:w="809"/>
        <w:gridCol w:w="6091"/>
      </w:tblGrid>
      <w:tr w14:paraId="5192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D495F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655AA56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评分因素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82ED722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0A55A9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评分标准</w:t>
            </w:r>
          </w:p>
        </w:tc>
      </w:tr>
      <w:tr w14:paraId="7FAF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ED856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5C5563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既往业绩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5A4F60B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20分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57DF5DD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征选申请人自2021年（含）以来，每具有一个类似本项目业绩的得5分，最多得20分。</w:t>
            </w:r>
          </w:p>
          <w:p w14:paraId="33D18BD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注：提供合同（协议）或中标（成交）通知书复印件或其他类似业绩证明材料加盖公章。</w:t>
            </w:r>
          </w:p>
        </w:tc>
      </w:tr>
      <w:tr w14:paraId="4DAA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00A0C7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F841F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服务响应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0A0D38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20分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7455092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根据对征选公告中第二部分服务内容的响应情况进行评分，每项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分，合计20分。对该项完全响应，没有负偏离的得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分，内容存在负偏离的，该项不得分。</w:t>
            </w:r>
          </w:p>
        </w:tc>
      </w:tr>
      <w:tr w14:paraId="2A49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556C7E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46C126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服务方案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B4F6E6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30分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5C32EC2B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根据征选申请人提供的服务方案的完善性、可行性等进行评审，方案内容应至少包含消费券申领审核方案、消费券发放及核销方案、客服服务方案、监测分析服务方案以及资金监管方案5方面内容，每项1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6分，没有不得分。</w:t>
            </w:r>
          </w:p>
        </w:tc>
      </w:tr>
      <w:tr w14:paraId="06BF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0606B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0B01B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用户覆盖度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065C245">
            <w:pPr>
              <w:spacing w:line="360" w:lineRule="auto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15分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D4AAE6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根据平台在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达州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市的注册用户数量从高到低进行排序，排名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第1-3名分别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、12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、8分，第4名及以后得6分。</w:t>
            </w:r>
          </w:p>
        </w:tc>
      </w:tr>
      <w:tr w14:paraId="29A4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3BD1A9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EA79D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人员组织配置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9F42016">
            <w:pPr>
              <w:spacing w:line="360" w:lineRule="auto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15分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B0AB96E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根据申请人提供的专业人员团队进行评审，专业人员团队具有丰富的消费券发放工作经验可配合进行活动商户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和消费者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培训、宣传、客诉处理等工作。</w:t>
            </w:r>
          </w:p>
          <w:p w14:paraId="0E2FB6A4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1.专业人员团队配备合理优秀的得15分；</w:t>
            </w:r>
          </w:p>
          <w:p w14:paraId="5F63BCBE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2.专业人员团队配备一般的得10分；</w:t>
            </w:r>
          </w:p>
          <w:p w14:paraId="1B7400AF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3.专业人员团队配备差的得5分；</w:t>
            </w:r>
          </w:p>
          <w:p w14:paraId="3835F389">
            <w:pPr>
              <w:spacing w:line="400" w:lineRule="exact"/>
              <w:contextualSpacing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4.未提供不得分。</w:t>
            </w:r>
          </w:p>
        </w:tc>
      </w:tr>
    </w:tbl>
    <w:p w14:paraId="16C4C740">
      <w:pPr>
        <w:pStyle w:val="4"/>
        <w:spacing w:after="0" w:line="200" w:lineRule="exact"/>
        <w:rPr>
          <w:rFonts w:hint="eastAsia" w:ascii="方正黑体_GBK" w:eastAsia="方正黑体_GBK"/>
          <w:sz w:val="32"/>
          <w:szCs w:val="32"/>
        </w:rPr>
      </w:pPr>
    </w:p>
    <w:p w14:paraId="3E30269D">
      <w:pPr>
        <w:pStyle w:val="4"/>
        <w:spacing w:after="0" w:line="200" w:lineRule="exact"/>
        <w:rPr>
          <w:rFonts w:hint="eastAsia" w:ascii="方正黑体_GBK" w:eastAsia="方正黑体_GBK"/>
          <w:sz w:val="32"/>
          <w:szCs w:val="32"/>
        </w:rPr>
      </w:pPr>
    </w:p>
    <w:p w14:paraId="0ECD1DAE">
      <w:pPr>
        <w:pStyle w:val="4"/>
        <w:spacing w:after="0" w:line="200" w:lineRule="exact"/>
        <w:rPr>
          <w:rFonts w:hint="eastAsia" w:ascii="方正黑体_GBK" w:eastAsia="方正黑体_GBK"/>
          <w:sz w:val="32"/>
          <w:szCs w:val="32"/>
        </w:rPr>
      </w:pPr>
    </w:p>
    <w:p w14:paraId="4428600F">
      <w:pPr>
        <w:pStyle w:val="4"/>
        <w:spacing w:after="0" w:line="200" w:lineRule="exact"/>
        <w:rPr>
          <w:rFonts w:hint="eastAsia" w:ascii="方正黑体_GBK" w:eastAsia="方正黑体_GBK"/>
          <w:sz w:val="32"/>
          <w:szCs w:val="32"/>
        </w:rPr>
      </w:pPr>
    </w:p>
    <w:p w14:paraId="7AC0D15C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59"/>
    <w:rsid w:val="00417058"/>
    <w:rsid w:val="005D0659"/>
    <w:rsid w:val="006C74CF"/>
    <w:rsid w:val="0076381C"/>
    <w:rsid w:val="37BFE536"/>
    <w:rsid w:val="3D37B444"/>
    <w:rsid w:val="58FBD923"/>
    <w:rsid w:val="5BB5C41F"/>
    <w:rsid w:val="5FF96F34"/>
    <w:rsid w:val="6EFDAA85"/>
    <w:rsid w:val="6FA7397B"/>
    <w:rsid w:val="6FF73314"/>
    <w:rsid w:val="75FF6056"/>
    <w:rsid w:val="7C8DF5C2"/>
    <w:rsid w:val="7DA7BE77"/>
    <w:rsid w:val="BC7E0950"/>
    <w:rsid w:val="EFB74786"/>
    <w:rsid w:val="EFFF81AE"/>
    <w:rsid w:val="FE4DD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2"/>
    <w:semiHidden/>
    <w:unhideWhenUsed/>
    <w:qFormat/>
    <w:uiPriority w:val="99"/>
  </w:style>
  <w:style w:type="paragraph" w:styleId="4">
    <w:name w:val="Body Text"/>
    <w:basedOn w:val="1"/>
    <w:next w:val="1"/>
    <w:link w:val="11"/>
    <w:qFormat/>
    <w:uiPriority w:val="0"/>
    <w:pPr>
      <w:spacing w:after="12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称呼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2024-06-17T17:12:00Z</dcterms:created>
  <dc:creator>微软用户</dc:creator>
  <cp:lastModifiedBy>love the spring</cp:lastModifiedBy>
  <dcterms:modified xsi:type="dcterms:W3CDTF">2025-12-05T15:49:12Z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4B2E3D91164E96C4788E32690C2A1EA4_43</vt:lpwstr>
  </property>
</Properties>
</file>