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eastAsia="宋体" w:cs="Times New Roman"/>
          <w:b/>
          <w:bCs/>
          <w:color w:val="000000" w:themeColor="text1"/>
          <w:sz w:val="56"/>
          <w:szCs w:val="56"/>
          <w14:textFill>
            <w14:solidFill>
              <w14:schemeClr w14:val="tx1"/>
            </w14:solidFill>
          </w14:textFill>
        </w:rPr>
      </w:pPr>
      <w:bookmarkStart w:id="0" w:name="_Hlk107407800"/>
      <w:bookmarkEnd w:id="0"/>
    </w:p>
    <w:p>
      <w:pPr>
        <w:spacing w:line="240" w:lineRule="auto"/>
        <w:ind w:firstLine="0" w:firstLineChars="0"/>
        <w:jc w:val="center"/>
        <w:rPr>
          <w:rFonts w:eastAsia="宋体" w:cs="Times New Roman"/>
          <w:b/>
          <w:bCs/>
          <w:color w:val="000000" w:themeColor="text1"/>
          <w:sz w:val="56"/>
          <w:szCs w:val="56"/>
          <w14:textFill>
            <w14:solidFill>
              <w14:schemeClr w14:val="tx1"/>
            </w14:solidFill>
          </w14:textFill>
        </w:rPr>
      </w:pPr>
    </w:p>
    <w:p>
      <w:pPr>
        <w:spacing w:line="240" w:lineRule="auto"/>
        <w:ind w:firstLine="0" w:firstLineChars="0"/>
        <w:jc w:val="center"/>
        <w:rPr>
          <w:rFonts w:eastAsia="宋体" w:cs="Times New Roman"/>
          <w:b/>
          <w:bCs/>
          <w:color w:val="000000" w:themeColor="text1"/>
          <w:sz w:val="56"/>
          <w:szCs w:val="56"/>
          <w14:textFill>
            <w14:solidFill>
              <w14:schemeClr w14:val="tx1"/>
            </w14:solidFill>
          </w14:textFill>
        </w:rPr>
      </w:pPr>
    </w:p>
    <w:p>
      <w:pPr>
        <w:spacing w:line="240" w:lineRule="auto"/>
        <w:ind w:firstLine="0" w:firstLineChars="0"/>
        <w:jc w:val="center"/>
        <w:rPr>
          <w:rFonts w:eastAsia="宋体" w:cs="Times New Roman"/>
          <w:b/>
          <w:bCs/>
          <w:color w:val="000000" w:themeColor="text1"/>
          <w:sz w:val="56"/>
          <w:szCs w:val="56"/>
          <w14:textFill>
            <w14:solidFill>
              <w14:schemeClr w14:val="tx1"/>
            </w14:solidFill>
          </w14:textFill>
        </w:rPr>
      </w:pPr>
    </w:p>
    <w:p>
      <w:pPr>
        <w:tabs>
          <w:tab w:val="right" w:leader="middleDot" w:pos="8960"/>
        </w:tabs>
        <w:spacing w:line="276" w:lineRule="auto"/>
        <w:ind w:firstLine="0" w:firstLineChars="0"/>
        <w:jc w:val="center"/>
        <w:rPr>
          <w:rFonts w:ascii="黑体" w:hAnsi="黑体" w:eastAsia="黑体" w:cs="Times New Roman"/>
          <w:snapToGrid w:val="0"/>
          <w:color w:val="000000"/>
          <w:kern w:val="0"/>
          <w:sz w:val="48"/>
          <w:szCs w:val="44"/>
        </w:rPr>
      </w:pPr>
      <w:r>
        <w:rPr>
          <w:rFonts w:hint="eastAsia" w:ascii="黑体" w:hAnsi="黑体" w:eastAsia="黑体" w:cs="Times New Roman"/>
          <w:snapToGrid w:val="0"/>
          <w:color w:val="000000"/>
          <w:kern w:val="0"/>
          <w:sz w:val="48"/>
          <w:szCs w:val="44"/>
        </w:rPr>
        <w:t>达州市粮油供应网络建设网点专项规划（2</w:t>
      </w:r>
      <w:r>
        <w:rPr>
          <w:rFonts w:ascii="黑体" w:hAnsi="黑体" w:eastAsia="黑体" w:cs="Times New Roman"/>
          <w:snapToGrid w:val="0"/>
          <w:color w:val="000000"/>
          <w:kern w:val="0"/>
          <w:sz w:val="48"/>
          <w:szCs w:val="44"/>
        </w:rPr>
        <w:t>02</w:t>
      </w:r>
      <w:r>
        <w:rPr>
          <w:rFonts w:hint="eastAsia" w:ascii="黑体" w:hAnsi="黑体" w:eastAsia="黑体" w:cs="Times New Roman"/>
          <w:snapToGrid w:val="0"/>
          <w:color w:val="000000"/>
          <w:kern w:val="0"/>
          <w:sz w:val="48"/>
          <w:szCs w:val="44"/>
          <w:lang w:val="en-US" w:eastAsia="zh-CN"/>
        </w:rPr>
        <w:t>2</w:t>
      </w:r>
      <w:r>
        <w:rPr>
          <w:rFonts w:hint="eastAsia" w:ascii="黑体" w:hAnsi="黑体" w:eastAsia="黑体" w:cs="Times New Roman"/>
          <w:snapToGrid w:val="0"/>
          <w:color w:val="000000"/>
          <w:kern w:val="0"/>
          <w:sz w:val="48"/>
          <w:szCs w:val="44"/>
        </w:rPr>
        <w:t>-</w:t>
      </w:r>
      <w:r>
        <w:rPr>
          <w:rFonts w:ascii="黑体" w:hAnsi="黑体" w:eastAsia="黑体" w:cs="Times New Roman"/>
          <w:snapToGrid w:val="0"/>
          <w:color w:val="000000"/>
          <w:kern w:val="0"/>
          <w:sz w:val="48"/>
          <w:szCs w:val="44"/>
        </w:rPr>
        <w:t>2025</w:t>
      </w:r>
      <w:r>
        <w:rPr>
          <w:rFonts w:hint="eastAsia" w:ascii="黑体" w:hAnsi="黑体" w:eastAsia="黑体" w:cs="Times New Roman"/>
          <w:snapToGrid w:val="0"/>
          <w:color w:val="000000"/>
          <w:kern w:val="0"/>
          <w:sz w:val="48"/>
          <w:szCs w:val="44"/>
        </w:rPr>
        <w:t>年）</w:t>
      </w: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40" w:lineRule="auto"/>
        <w:ind w:firstLine="964"/>
        <w:jc w:val="center"/>
        <w:rPr>
          <w:rFonts w:eastAsia="黑体" w:cs="Times New Roman"/>
          <w:b/>
          <w:bCs/>
          <w:color w:val="000000" w:themeColor="text1"/>
          <w:sz w:val="48"/>
          <w:szCs w:val="48"/>
          <w14:textFill>
            <w14:solidFill>
              <w14:schemeClr w14:val="tx1"/>
            </w14:solidFill>
          </w14:textFill>
        </w:rPr>
      </w:pPr>
    </w:p>
    <w:p>
      <w:pPr>
        <w:spacing w:line="276" w:lineRule="auto"/>
        <w:ind w:firstLine="720"/>
        <w:jc w:val="center"/>
        <w:rPr>
          <w:rFonts w:ascii="黑体" w:hAnsi="黑体" w:eastAsia="黑体" w:cs="Times New Roman"/>
          <w:bCs/>
          <w:color w:val="000000" w:themeColor="text1"/>
          <w:sz w:val="36"/>
          <w:szCs w:val="32"/>
          <w14:textFill>
            <w14:solidFill>
              <w14:schemeClr w14:val="tx1"/>
            </w14:solidFill>
          </w14:textFill>
        </w:rPr>
      </w:pPr>
    </w:p>
    <w:p>
      <w:pPr>
        <w:spacing w:line="276" w:lineRule="auto"/>
        <w:ind w:firstLine="720"/>
        <w:jc w:val="center"/>
        <w:rPr>
          <w:rFonts w:ascii="黑体" w:hAnsi="黑体" w:eastAsia="黑体" w:cs="Times New Roman"/>
          <w:bCs/>
          <w:color w:val="000000" w:themeColor="text1"/>
          <w:sz w:val="36"/>
          <w:szCs w:val="32"/>
          <w14:textFill>
            <w14:solidFill>
              <w14:schemeClr w14:val="tx1"/>
            </w14:solidFill>
          </w14:textFill>
        </w:rPr>
      </w:pPr>
      <w:r>
        <w:rPr>
          <w:rFonts w:hint="eastAsia" w:ascii="黑体" w:hAnsi="黑体" w:eastAsia="黑体" w:cs="Times New Roman"/>
          <w:bCs/>
          <w:color w:val="000000" w:themeColor="text1"/>
          <w:sz w:val="36"/>
          <w:szCs w:val="32"/>
          <w14:textFill>
            <w14:solidFill>
              <w14:schemeClr w14:val="tx1"/>
            </w14:solidFill>
          </w14:textFill>
        </w:rPr>
        <w:t>2</w:t>
      </w:r>
      <w:r>
        <w:rPr>
          <w:rFonts w:ascii="黑体" w:hAnsi="黑体" w:eastAsia="黑体" w:cs="Times New Roman"/>
          <w:bCs/>
          <w:color w:val="000000" w:themeColor="text1"/>
          <w:sz w:val="36"/>
          <w:szCs w:val="32"/>
          <w14:textFill>
            <w14:solidFill>
              <w14:schemeClr w14:val="tx1"/>
            </w14:solidFill>
          </w14:textFill>
        </w:rPr>
        <w:t>022</w:t>
      </w:r>
      <w:r>
        <w:rPr>
          <w:rFonts w:hint="eastAsia" w:ascii="黑体" w:hAnsi="黑体" w:eastAsia="黑体" w:cs="Times New Roman"/>
          <w:bCs/>
          <w:color w:val="000000" w:themeColor="text1"/>
          <w:sz w:val="36"/>
          <w:szCs w:val="32"/>
          <w14:textFill>
            <w14:solidFill>
              <w14:schemeClr w14:val="tx1"/>
            </w14:solidFill>
          </w14:textFill>
        </w:rPr>
        <w:t>年1</w:t>
      </w:r>
      <w:r>
        <w:rPr>
          <w:rFonts w:ascii="黑体" w:hAnsi="黑体" w:eastAsia="黑体" w:cs="Times New Roman"/>
          <w:bCs/>
          <w:color w:val="000000" w:themeColor="text1"/>
          <w:sz w:val="36"/>
          <w:szCs w:val="32"/>
          <w14:textFill>
            <w14:solidFill>
              <w14:schemeClr w14:val="tx1"/>
            </w14:solidFill>
          </w14:textFill>
        </w:rPr>
        <w:t>0</w:t>
      </w:r>
      <w:r>
        <w:rPr>
          <w:rFonts w:hint="eastAsia" w:ascii="黑体" w:hAnsi="黑体" w:eastAsia="黑体" w:cs="Times New Roman"/>
          <w:bCs/>
          <w:color w:val="000000" w:themeColor="text1"/>
          <w:sz w:val="36"/>
          <w:szCs w:val="32"/>
          <w14:textFill>
            <w14:solidFill>
              <w14:schemeClr w14:val="tx1"/>
            </w14:solidFill>
          </w14:textFill>
        </w:rPr>
        <w:t>月</w:t>
      </w:r>
    </w:p>
    <w:p>
      <w:pPr>
        <w:spacing w:line="240" w:lineRule="auto"/>
        <w:ind w:firstLine="643"/>
        <w:jc w:val="center"/>
        <w:rPr>
          <w:rFonts w:eastAsia="黑体" w:cs="Times New Roman"/>
          <w:b/>
          <w:bCs/>
          <w:color w:val="000000" w:themeColor="text1"/>
          <w:szCs w:val="32"/>
          <w14:textFill>
            <w14:solidFill>
              <w14:schemeClr w14:val="tx1"/>
            </w14:solidFill>
          </w14:textFill>
        </w:rPr>
      </w:pPr>
    </w:p>
    <w:p>
      <w:pPr>
        <w:ind w:firstLine="640"/>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titlePg/>
          <w:docGrid w:type="lines" w:linePitch="408" w:charSpace="0"/>
        </w:sectPr>
      </w:pPr>
    </w:p>
    <w:p>
      <w:pPr>
        <w:tabs>
          <w:tab w:val="right" w:leader="middleDot" w:pos="8960"/>
        </w:tabs>
        <w:spacing w:before="204" w:beforeLines="50" w:after="204" w:afterLines="50" w:line="600" w:lineRule="exact"/>
        <w:ind w:firstLine="0" w:firstLineChars="0"/>
        <w:jc w:val="center"/>
        <w:outlineLvl w:val="0"/>
        <w:rPr>
          <w:rFonts w:eastAsia="方正小标宋简体" w:cs="Times New Roman"/>
          <w:bCs/>
          <w:snapToGrid w:val="0"/>
          <w:color w:val="000000"/>
          <w:kern w:val="0"/>
          <w:sz w:val="44"/>
          <w:szCs w:val="44"/>
        </w:rPr>
      </w:pPr>
      <w:bookmarkStart w:id="1" w:name="_Toc116564440"/>
      <w:bookmarkStart w:id="2" w:name="_Toc114833750"/>
      <w:bookmarkStart w:id="3" w:name="_Toc116564469"/>
      <w:bookmarkStart w:id="4" w:name="_Toc115274283"/>
      <w:bookmarkStart w:id="5" w:name="_Toc116381336"/>
      <w:r>
        <w:rPr>
          <w:rFonts w:hint="eastAsia" w:eastAsia="方正小标宋简体" w:cs="Times New Roman"/>
          <w:bCs/>
          <w:snapToGrid w:val="0"/>
          <w:color w:val="000000"/>
          <w:kern w:val="0"/>
          <w:sz w:val="44"/>
          <w:szCs w:val="44"/>
        </w:rPr>
        <w:t xml:space="preserve">目 </w:t>
      </w:r>
      <w:r>
        <w:rPr>
          <w:rFonts w:eastAsia="方正小标宋简体" w:cs="Times New Roman"/>
          <w:bCs/>
          <w:snapToGrid w:val="0"/>
          <w:color w:val="000000"/>
          <w:kern w:val="0"/>
          <w:sz w:val="44"/>
          <w:szCs w:val="44"/>
        </w:rPr>
        <w:t xml:space="preserve"> </w:t>
      </w:r>
      <w:r>
        <w:rPr>
          <w:rFonts w:hint="eastAsia" w:eastAsia="方正小标宋简体" w:cs="Times New Roman"/>
          <w:bCs/>
          <w:snapToGrid w:val="0"/>
          <w:color w:val="000000"/>
          <w:kern w:val="0"/>
          <w:sz w:val="44"/>
          <w:szCs w:val="44"/>
        </w:rPr>
        <w:t>录</w:t>
      </w:r>
      <w:bookmarkEnd w:id="1"/>
      <w:bookmarkEnd w:id="2"/>
      <w:bookmarkEnd w:id="3"/>
      <w:bookmarkEnd w:id="4"/>
      <w:bookmarkEnd w:id="5"/>
    </w:p>
    <w:p>
      <w:pPr>
        <w:pStyle w:val="9"/>
        <w:tabs>
          <w:tab w:val="right" w:leader="dot" w:pos="8296"/>
        </w:tabs>
        <w:ind w:firstLine="803"/>
        <w:rPr>
          <w:rFonts w:asciiTheme="minorHAnsi" w:hAnsiTheme="minorHAnsi" w:eastAsiaTheme="minorEastAsia"/>
          <w:sz w:val="21"/>
        </w:rPr>
      </w:pPr>
      <w:r>
        <w:rPr>
          <w:rFonts w:ascii="黑体" w:hAnsi="黑体" w:eastAsia="黑体"/>
          <w:b/>
          <w:bCs/>
          <w:color w:val="000000" w:themeColor="text1"/>
          <w:sz w:val="40"/>
          <w:szCs w:val="32"/>
          <w14:textFill>
            <w14:solidFill>
              <w14:schemeClr w14:val="tx1"/>
            </w14:solidFill>
          </w14:textFill>
        </w:rPr>
        <w:fldChar w:fldCharType="begin"/>
      </w:r>
      <w:r>
        <w:rPr>
          <w:rFonts w:ascii="黑体" w:hAnsi="黑体" w:eastAsia="黑体"/>
          <w:b/>
          <w:bCs/>
          <w:color w:val="000000" w:themeColor="text1"/>
          <w:sz w:val="40"/>
          <w:szCs w:val="32"/>
          <w14:textFill>
            <w14:solidFill>
              <w14:schemeClr w14:val="tx1"/>
            </w14:solidFill>
          </w14:textFill>
        </w:rPr>
        <w:instrText xml:space="preserve"> </w:instrText>
      </w:r>
      <w:r>
        <w:rPr>
          <w:rFonts w:hint="eastAsia" w:ascii="黑体" w:hAnsi="黑体" w:eastAsia="黑体"/>
          <w:b/>
          <w:bCs/>
          <w:color w:val="000000" w:themeColor="text1"/>
          <w:sz w:val="40"/>
          <w:szCs w:val="32"/>
          <w14:textFill>
            <w14:solidFill>
              <w14:schemeClr w14:val="tx1"/>
            </w14:solidFill>
          </w14:textFill>
        </w:rPr>
        <w:instrText xml:space="preserve">TOC \o "1-2" \h \z \u</w:instrText>
      </w:r>
      <w:r>
        <w:rPr>
          <w:rFonts w:ascii="黑体" w:hAnsi="黑体" w:eastAsia="黑体"/>
          <w:b/>
          <w:bCs/>
          <w:color w:val="000000" w:themeColor="text1"/>
          <w:sz w:val="40"/>
          <w:szCs w:val="32"/>
          <w14:textFill>
            <w14:solidFill>
              <w14:schemeClr w14:val="tx1"/>
            </w14:solidFill>
          </w14:textFill>
        </w:rPr>
        <w:instrText xml:space="preserve"> </w:instrText>
      </w:r>
      <w:r>
        <w:rPr>
          <w:rFonts w:ascii="黑体" w:hAnsi="黑体" w:eastAsia="黑体"/>
          <w:b/>
          <w:bCs/>
          <w:color w:val="000000" w:themeColor="text1"/>
          <w:sz w:val="40"/>
          <w:szCs w:val="32"/>
          <w14:textFill>
            <w14:solidFill>
              <w14:schemeClr w14:val="tx1"/>
            </w14:solidFill>
          </w14:textFill>
        </w:rPr>
        <w:fldChar w:fldCharType="separate"/>
      </w:r>
    </w:p>
    <w:p>
      <w:pPr>
        <w:pStyle w:val="9"/>
        <w:tabs>
          <w:tab w:val="right" w:leader="dot" w:pos="8296"/>
        </w:tabs>
        <w:ind w:firstLine="640"/>
        <w:rPr>
          <w:rFonts w:asciiTheme="minorHAnsi" w:hAnsiTheme="minorHAnsi" w:eastAsiaTheme="minorEastAsia"/>
          <w:sz w:val="21"/>
        </w:rPr>
      </w:pPr>
      <w:r>
        <w:fldChar w:fldCharType="begin"/>
      </w:r>
      <w:r>
        <w:instrText xml:space="preserve"> HYPERLINK \l "_Toc116564470" </w:instrText>
      </w:r>
      <w:r>
        <w:fldChar w:fldCharType="separate"/>
      </w:r>
      <w:r>
        <w:rPr>
          <w:rStyle w:val="15"/>
        </w:rPr>
        <w:t>前  言</w:t>
      </w:r>
      <w:r>
        <w:tab/>
      </w:r>
      <w:r>
        <w:fldChar w:fldCharType="begin"/>
      </w:r>
      <w:r>
        <w:instrText xml:space="preserve"> PAGEREF _Toc116564470 \h </w:instrText>
      </w:r>
      <w:r>
        <w:fldChar w:fldCharType="separate"/>
      </w:r>
      <w:r>
        <w:t>1</w:t>
      </w:r>
      <w:r>
        <w:fldChar w:fldCharType="end"/>
      </w:r>
      <w:r>
        <w:fldChar w:fldCharType="end"/>
      </w:r>
    </w:p>
    <w:p>
      <w:pPr>
        <w:pStyle w:val="9"/>
        <w:tabs>
          <w:tab w:val="right" w:leader="dot" w:pos="8296"/>
        </w:tabs>
        <w:ind w:firstLine="640"/>
        <w:rPr>
          <w:rFonts w:asciiTheme="minorHAnsi" w:hAnsiTheme="minorHAnsi" w:eastAsiaTheme="minorEastAsia"/>
          <w:sz w:val="21"/>
        </w:rPr>
      </w:pPr>
      <w:r>
        <w:fldChar w:fldCharType="begin"/>
      </w:r>
      <w:r>
        <w:instrText xml:space="preserve"> HYPERLINK \l "_Toc116564471" </w:instrText>
      </w:r>
      <w:r>
        <w:fldChar w:fldCharType="separate"/>
      </w:r>
      <w:r>
        <w:rPr>
          <w:rStyle w:val="15"/>
        </w:rPr>
        <w:t>第一章  规划背景</w:t>
      </w:r>
      <w:r>
        <w:tab/>
      </w:r>
      <w:r>
        <w:fldChar w:fldCharType="begin"/>
      </w:r>
      <w:r>
        <w:instrText xml:space="preserve"> PAGEREF _Toc116564471 \h </w:instrText>
      </w:r>
      <w:r>
        <w:fldChar w:fldCharType="separate"/>
      </w:r>
      <w:r>
        <w:t>2</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"_Toc116564472" </w:instrText>
      </w:r>
      <w:r>
        <w:fldChar w:fldCharType="separate"/>
      </w:r>
      <w:r>
        <w:rPr>
          <w:rStyle w:val="15"/>
        </w:rPr>
        <w:t>第一节 发展现状</w:t>
      </w:r>
      <w:r>
        <w:tab/>
      </w:r>
      <w:r>
        <w:fldChar w:fldCharType="begin"/>
      </w:r>
      <w:r>
        <w:instrText xml:space="preserve"> PAGEREF _Toc116564472 \h </w:instrText>
      </w:r>
      <w:r>
        <w:fldChar w:fldCharType="separate"/>
      </w:r>
      <w:r>
        <w:t>2</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"_Toc116564473" </w:instrText>
      </w:r>
      <w:r>
        <w:fldChar w:fldCharType="separate"/>
      </w:r>
      <w:r>
        <w:rPr>
          <w:rStyle w:val="15"/>
        </w:rPr>
        <w:t>第二节 发展形势</w:t>
      </w:r>
      <w:r>
        <w:tab/>
      </w:r>
      <w:r>
        <w:fldChar w:fldCharType="begin"/>
      </w:r>
      <w:r>
        <w:instrText xml:space="preserve"> PAGEREF _Toc116564473 \h </w:instrText>
      </w:r>
      <w:r>
        <w:fldChar w:fldCharType="separate"/>
      </w:r>
      <w:r>
        <w:t>5</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"_Toc116564474" </w:instrText>
      </w:r>
      <w:r>
        <w:fldChar w:fldCharType="separate"/>
      </w:r>
      <w:r>
        <w:rPr>
          <w:rStyle w:val="15"/>
        </w:rPr>
        <w:t>第三节 问题挑战</w:t>
      </w:r>
      <w:r>
        <w:tab/>
      </w:r>
      <w:r>
        <w:fldChar w:fldCharType="begin"/>
      </w:r>
      <w:r>
        <w:instrText xml:space="preserve"> PAGEREF _Toc116564474 \h </w:instrText>
      </w:r>
      <w:r>
        <w:fldChar w:fldCharType="separate"/>
      </w:r>
      <w:r>
        <w:t>8</w:t>
      </w:r>
      <w:r>
        <w:fldChar w:fldCharType="end"/>
      </w:r>
      <w:r>
        <w:fldChar w:fldCharType="end"/>
      </w:r>
    </w:p>
    <w:p>
      <w:pPr>
        <w:pStyle w:val="9"/>
        <w:tabs>
          <w:tab w:val="right" w:leader="dot" w:pos="8296"/>
        </w:tabs>
        <w:ind w:firstLine="640"/>
        <w:rPr>
          <w:rFonts w:asciiTheme="minorHAnsi" w:hAnsiTheme="minorHAnsi" w:eastAsiaTheme="minorEastAsia"/>
          <w:sz w:val="21"/>
        </w:rPr>
      </w:pPr>
      <w:r>
        <w:fldChar w:fldCharType="begin"/>
      </w:r>
      <w:r>
        <w:instrText xml:space="preserve"> HYPERLINK \l "_Toc116564475" </w:instrText>
      </w:r>
      <w:r>
        <w:fldChar w:fldCharType="separate"/>
      </w:r>
      <w:r>
        <w:rPr>
          <w:rStyle w:val="15"/>
        </w:rPr>
        <w:t>第二章  总体要求</w:t>
      </w:r>
      <w:r>
        <w:tab/>
      </w:r>
      <w:r>
        <w:fldChar w:fldCharType="begin"/>
      </w:r>
      <w:r>
        <w:instrText xml:space="preserve"> PAGEREF _Toc116564475 \h </w:instrText>
      </w:r>
      <w:r>
        <w:fldChar w:fldCharType="separate"/>
      </w:r>
      <w:r>
        <w:t>10</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"_Toc116564476" </w:instrText>
      </w:r>
      <w:r>
        <w:fldChar w:fldCharType="separate"/>
      </w:r>
      <w:r>
        <w:rPr>
          <w:rStyle w:val="15"/>
        </w:rPr>
        <w:t>第一节 指导思想</w:t>
      </w:r>
      <w:r>
        <w:tab/>
      </w:r>
      <w:r>
        <w:fldChar w:fldCharType="begin"/>
      </w:r>
      <w:r>
        <w:instrText xml:space="preserve"> PAGEREF _Toc116564476 \h </w:instrText>
      </w:r>
      <w:r>
        <w:fldChar w:fldCharType="separate"/>
      </w:r>
      <w:r>
        <w:t>10</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"_Toc116564477" </w:instrText>
      </w:r>
      <w:r>
        <w:fldChar w:fldCharType="separate"/>
      </w:r>
      <w:r>
        <w:rPr>
          <w:rStyle w:val="15"/>
        </w:rPr>
        <w:t>第二节 基本原则</w:t>
      </w:r>
      <w:r>
        <w:tab/>
      </w:r>
      <w:r>
        <w:fldChar w:fldCharType="begin"/>
      </w:r>
      <w:r>
        <w:instrText xml:space="preserve"> PAGEREF _Toc116564477 \h </w:instrText>
      </w:r>
      <w:r>
        <w:fldChar w:fldCharType="separate"/>
      </w:r>
      <w:r>
        <w:t>10</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"_Toc116564478" </w:instrText>
      </w:r>
      <w:r>
        <w:fldChar w:fldCharType="separate"/>
      </w:r>
      <w:r>
        <w:rPr>
          <w:rStyle w:val="15"/>
        </w:rPr>
        <w:t>第三节 发展目标</w:t>
      </w:r>
      <w:r>
        <w:tab/>
      </w:r>
      <w:r>
        <w:fldChar w:fldCharType="begin"/>
      </w:r>
      <w:r>
        <w:instrText xml:space="preserve"> PAGEREF _Toc116564478 \h </w:instrText>
      </w:r>
      <w:r>
        <w:fldChar w:fldCharType="separate"/>
      </w:r>
      <w:r>
        <w:t>11</w:t>
      </w:r>
      <w:r>
        <w:fldChar w:fldCharType="end"/>
      </w:r>
      <w:r>
        <w:fldChar w:fldCharType="end"/>
      </w:r>
    </w:p>
    <w:p>
      <w:pPr>
        <w:pStyle w:val="9"/>
        <w:tabs>
          <w:tab w:val="right" w:leader="dot" w:pos="8296"/>
        </w:tabs>
        <w:ind w:firstLine="640"/>
        <w:rPr>
          <w:rFonts w:asciiTheme="minorHAnsi" w:hAnsiTheme="minorHAnsi" w:eastAsiaTheme="minorEastAsia"/>
          <w:sz w:val="21"/>
        </w:rPr>
      </w:pPr>
      <w:r>
        <w:fldChar w:fldCharType="begin"/>
      </w:r>
      <w:r>
        <w:instrText xml:space="preserve"> HYPERLINK \l "_Toc116564479" </w:instrText>
      </w:r>
      <w:r>
        <w:fldChar w:fldCharType="separate"/>
      </w:r>
      <w:r>
        <w:rPr>
          <w:rStyle w:val="15"/>
        </w:rPr>
        <w:t>第三章  主要任务</w:t>
      </w:r>
      <w:r>
        <w:tab/>
      </w:r>
      <w:r>
        <w:fldChar w:fldCharType="begin"/>
      </w:r>
      <w:r>
        <w:instrText xml:space="preserve"> PAGEREF _Toc116564479 \h </w:instrText>
      </w:r>
      <w:r>
        <w:fldChar w:fldCharType="separate"/>
      </w:r>
      <w:r>
        <w:t>12</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"_Toc116564480" </w:instrText>
      </w:r>
      <w:r>
        <w:fldChar w:fldCharType="separate"/>
      </w:r>
      <w:r>
        <w:rPr>
          <w:rStyle w:val="15"/>
        </w:rPr>
        <w:t>第一节 夯实粮油供应物质基础</w:t>
      </w:r>
      <w:r>
        <w:tab/>
      </w:r>
      <w:r>
        <w:fldChar w:fldCharType="begin"/>
      </w:r>
      <w:r>
        <w:instrText xml:space="preserve"> PAGEREF _Toc116564480 \h </w:instrText>
      </w:r>
      <w:r>
        <w:fldChar w:fldCharType="separate"/>
      </w:r>
      <w:r>
        <w:t>12</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"_Toc116564481" </w:instrText>
      </w:r>
      <w:r>
        <w:fldChar w:fldCharType="separate"/>
      </w:r>
      <w:r>
        <w:rPr>
          <w:rStyle w:val="15"/>
        </w:rPr>
        <w:t>第二节 提升粮油应急保障能力</w:t>
      </w:r>
      <w:r>
        <w:tab/>
      </w:r>
      <w:r>
        <w:fldChar w:fldCharType="begin"/>
      </w:r>
      <w:r>
        <w:instrText xml:space="preserve"> PAGEREF _Toc116564481 \h </w:instrText>
      </w:r>
      <w:r>
        <w:fldChar w:fldCharType="separate"/>
      </w:r>
      <w:r>
        <w:t>13</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"_Toc116564482" </w:instrText>
      </w:r>
      <w:r>
        <w:fldChar w:fldCharType="separate"/>
      </w:r>
      <w:r>
        <w:rPr>
          <w:rStyle w:val="15"/>
        </w:rPr>
        <w:t>第三节 加强粮油供应网络建设</w:t>
      </w:r>
      <w:r>
        <w:tab/>
      </w:r>
      <w:r>
        <w:fldChar w:fldCharType="begin"/>
      </w:r>
      <w:r>
        <w:instrText xml:space="preserve"> PAGEREF _Toc116564482 \h </w:instrText>
      </w:r>
      <w:r>
        <w:fldChar w:fldCharType="separate"/>
      </w:r>
      <w:r>
        <w:t>15</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"_Toc116564483" </w:instrText>
      </w:r>
      <w:r>
        <w:fldChar w:fldCharType="separate"/>
      </w:r>
      <w:r>
        <w:rPr>
          <w:rStyle w:val="15"/>
        </w:rPr>
        <w:t>第四节 强化粮油市场宏观调控</w:t>
      </w:r>
      <w:r>
        <w:tab/>
      </w:r>
      <w:r>
        <w:fldChar w:fldCharType="begin"/>
      </w:r>
      <w:r>
        <w:instrText xml:space="preserve"> PAGEREF _Toc116564483 \h </w:instrText>
      </w:r>
      <w:r>
        <w:fldChar w:fldCharType="separate"/>
      </w:r>
      <w:r>
        <w:t>17</w:t>
      </w:r>
      <w:r>
        <w:fldChar w:fldCharType="end"/>
      </w:r>
      <w:r>
        <w:fldChar w:fldCharType="end"/>
      </w:r>
    </w:p>
    <w:p>
      <w:pPr>
        <w:pStyle w:val="9"/>
        <w:tabs>
          <w:tab w:val="right" w:leader="dot" w:pos="8296"/>
        </w:tabs>
        <w:ind w:firstLine="640"/>
        <w:rPr>
          <w:rFonts w:asciiTheme="minorHAnsi" w:hAnsiTheme="minorHAnsi" w:eastAsiaTheme="minorEastAsia"/>
          <w:sz w:val="21"/>
        </w:rPr>
      </w:pPr>
      <w:r>
        <w:fldChar w:fldCharType="begin"/>
      </w:r>
      <w:r>
        <w:instrText xml:space="preserve"> HYPERLINK \l "_Toc116564484" </w:instrText>
      </w:r>
      <w:r>
        <w:fldChar w:fldCharType="separate"/>
      </w:r>
      <w:r>
        <w:rPr>
          <w:rStyle w:val="15"/>
        </w:rPr>
        <w:t>第四章  发展布局</w:t>
      </w:r>
      <w:r>
        <w:tab/>
      </w:r>
      <w:r>
        <w:fldChar w:fldCharType="begin"/>
      </w:r>
      <w:r>
        <w:instrText xml:space="preserve"> PAGEREF _Toc116564484 \h </w:instrText>
      </w:r>
      <w:r>
        <w:fldChar w:fldCharType="separate"/>
      </w:r>
      <w:r>
        <w:t>20</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"_Toc116564485" </w:instrText>
      </w:r>
      <w:r>
        <w:fldChar w:fldCharType="separate"/>
      </w:r>
      <w:r>
        <w:rPr>
          <w:rStyle w:val="15"/>
        </w:rPr>
        <w:t>第一节 一核引领</w:t>
      </w:r>
      <w:r>
        <w:tab/>
      </w:r>
      <w:r>
        <w:fldChar w:fldCharType="begin"/>
      </w:r>
      <w:r>
        <w:instrText xml:space="preserve"> PAGEREF _Toc116564485 \h </w:instrText>
      </w:r>
      <w:r>
        <w:fldChar w:fldCharType="separate"/>
      </w:r>
      <w:r>
        <w:t>20</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"_Toc116564486" </w:instrText>
      </w:r>
      <w:r>
        <w:fldChar w:fldCharType="separate"/>
      </w:r>
      <w:r>
        <w:rPr>
          <w:rStyle w:val="15"/>
        </w:rPr>
        <w:t>第二节 八心驱动</w:t>
      </w:r>
      <w:r>
        <w:tab/>
      </w:r>
      <w:r>
        <w:fldChar w:fldCharType="begin"/>
      </w:r>
      <w:r>
        <w:instrText xml:space="preserve"> PAGEREF _Toc116564486 \h </w:instrText>
      </w:r>
      <w:r>
        <w:fldChar w:fldCharType="separate"/>
      </w:r>
      <w:r>
        <w:t>21</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"_Toc116564487" </w:instrText>
      </w:r>
      <w:r>
        <w:fldChar w:fldCharType="separate"/>
      </w:r>
      <w:r>
        <w:rPr>
          <w:rStyle w:val="15"/>
        </w:rPr>
        <w:t>第三节 多点支撑</w:t>
      </w:r>
      <w:r>
        <w:tab/>
      </w:r>
      <w:r>
        <w:fldChar w:fldCharType="begin"/>
      </w:r>
      <w:r>
        <w:instrText xml:space="preserve"> PAGEREF _Toc116564487 \h </w:instrText>
      </w:r>
      <w:r>
        <w:fldChar w:fldCharType="separate"/>
      </w:r>
      <w:r>
        <w:t>22</w:t>
      </w:r>
      <w:r>
        <w:fldChar w:fldCharType="end"/>
      </w:r>
      <w:r>
        <w:fldChar w:fldCharType="end"/>
      </w:r>
    </w:p>
    <w:p>
      <w:pPr>
        <w:pStyle w:val="9"/>
        <w:tabs>
          <w:tab w:val="right" w:leader="dot" w:pos="8296"/>
        </w:tabs>
        <w:ind w:firstLine="640"/>
        <w:rPr>
          <w:rFonts w:asciiTheme="minorHAnsi" w:hAnsiTheme="minorHAnsi" w:eastAsiaTheme="minorEastAsia"/>
          <w:sz w:val="21"/>
        </w:rPr>
      </w:pPr>
      <w:r>
        <w:fldChar w:fldCharType="begin"/>
      </w:r>
      <w:r>
        <w:instrText xml:space="preserve"> HYPERLINK \l "_Toc116564488" </w:instrText>
      </w:r>
      <w:r>
        <w:fldChar w:fldCharType="separate"/>
      </w:r>
      <w:r>
        <w:rPr>
          <w:rStyle w:val="15"/>
        </w:rPr>
        <w:t>第五章  保障措施</w:t>
      </w:r>
      <w:r>
        <w:tab/>
      </w:r>
      <w:r>
        <w:fldChar w:fldCharType="begin"/>
      </w:r>
      <w:r>
        <w:instrText xml:space="preserve"> PAGEREF _Toc116564488 \h </w:instrText>
      </w:r>
      <w:r>
        <w:fldChar w:fldCharType="separate"/>
      </w:r>
      <w:r>
        <w:t>24</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"_Toc116564489" </w:instrText>
      </w:r>
      <w:r>
        <w:fldChar w:fldCharType="separate"/>
      </w:r>
      <w:r>
        <w:rPr>
          <w:rStyle w:val="15"/>
        </w:rPr>
        <w:t>第一节 组织保障</w:t>
      </w:r>
      <w:r>
        <w:tab/>
      </w:r>
      <w:r>
        <w:fldChar w:fldCharType="begin"/>
      </w:r>
      <w:r>
        <w:instrText xml:space="preserve"> PAGEREF _Toc116564489 \h </w:instrText>
      </w:r>
      <w:r>
        <w:fldChar w:fldCharType="separate"/>
      </w:r>
      <w:r>
        <w:t>24</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"_Toc116564490" </w:instrText>
      </w:r>
      <w:r>
        <w:fldChar w:fldCharType="separate"/>
      </w:r>
      <w:r>
        <w:rPr>
          <w:rStyle w:val="15"/>
        </w:rPr>
        <w:t>第二节 政策保障</w:t>
      </w:r>
      <w:r>
        <w:tab/>
      </w:r>
      <w:r>
        <w:fldChar w:fldCharType="begin"/>
      </w:r>
      <w:r>
        <w:instrText xml:space="preserve"> PAGEREF _Toc116564490 \h </w:instrText>
      </w:r>
      <w:r>
        <w:fldChar w:fldCharType="separate"/>
      </w:r>
      <w:r>
        <w:t>24</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"_Toc116564491" </w:instrText>
      </w:r>
      <w:r>
        <w:fldChar w:fldCharType="separate"/>
      </w:r>
      <w:r>
        <w:rPr>
          <w:rStyle w:val="15"/>
        </w:rPr>
        <w:t>第三节 管理保障</w:t>
      </w:r>
      <w:r>
        <w:tab/>
      </w:r>
      <w:r>
        <w:fldChar w:fldCharType="begin"/>
      </w:r>
      <w:r>
        <w:instrText xml:space="preserve"> PAGEREF _Toc116564491 \h </w:instrText>
      </w:r>
      <w:r>
        <w:fldChar w:fldCharType="separate"/>
      </w:r>
      <w:r>
        <w:t>25</w:t>
      </w:r>
      <w:r>
        <w:fldChar w:fldCharType="end"/>
      </w:r>
      <w:r>
        <w:fldChar w:fldCharType="end"/>
      </w:r>
    </w:p>
    <w:p>
      <w:pPr>
        <w:pStyle w:val="10"/>
        <w:tabs>
          <w:tab w:val="right" w:leader="dot" w:pos="8296"/>
        </w:tabs>
        <w:ind w:left="640" w:firstLine="640"/>
        <w:rPr>
          <w:rFonts w:asciiTheme="minorHAnsi" w:hAnsiTheme="minorHAnsi" w:eastAsiaTheme="minorEastAsia"/>
          <w:sz w:val="21"/>
        </w:rPr>
      </w:pPr>
      <w:r>
        <w:fldChar w:fldCharType="begin"/>
      </w:r>
      <w:r>
        <w:instrText xml:space="preserve"> HYPERLINK \l "_Toc116564492" </w:instrText>
      </w:r>
      <w:r>
        <w:fldChar w:fldCharType="separate"/>
      </w:r>
      <w:r>
        <w:rPr>
          <w:rStyle w:val="15"/>
        </w:rPr>
        <w:t>第四节 监督保障</w:t>
      </w:r>
      <w:r>
        <w:tab/>
      </w:r>
      <w:r>
        <w:fldChar w:fldCharType="begin"/>
      </w:r>
      <w:r>
        <w:instrText xml:space="preserve"> PAGEREF _Toc116564492 \h </w:instrText>
      </w:r>
      <w:r>
        <w:fldChar w:fldCharType="separate"/>
      </w:r>
      <w:r>
        <w:t>25</w:t>
      </w:r>
      <w:r>
        <w:fldChar w:fldCharType="end"/>
      </w:r>
      <w:r>
        <w:fldChar w:fldCharType="end"/>
      </w:r>
    </w:p>
    <w:p>
      <w:pPr>
        <w:pStyle w:val="9"/>
        <w:tabs>
          <w:tab w:val="right" w:leader="dot" w:pos="8296"/>
        </w:tabs>
        <w:ind w:firstLine="640"/>
        <w:rPr>
          <w:rFonts w:asciiTheme="minorHAnsi" w:hAnsiTheme="minorHAnsi" w:eastAsiaTheme="minorEastAsia"/>
          <w:sz w:val="21"/>
        </w:rPr>
      </w:pPr>
      <w:r>
        <w:fldChar w:fldCharType="begin"/>
      </w:r>
      <w:r>
        <w:instrText xml:space="preserve"> HYPERLINK \l "_Toc116564493" </w:instrText>
      </w:r>
      <w:r>
        <w:fldChar w:fldCharType="separate"/>
      </w:r>
      <w:r>
        <w:rPr>
          <w:rStyle w:val="15"/>
        </w:rPr>
        <w:t>附件1  达州市粮油应急供应网点测算表</w:t>
      </w:r>
      <w:r>
        <w:tab/>
      </w:r>
      <w:r>
        <w:fldChar w:fldCharType="begin"/>
      </w:r>
      <w:r>
        <w:instrText xml:space="preserve"> PAGEREF _Toc116564493 \h </w:instrText>
      </w:r>
      <w:r>
        <w:fldChar w:fldCharType="separate"/>
      </w:r>
      <w:r>
        <w:t>27</w:t>
      </w:r>
      <w:r>
        <w:fldChar w:fldCharType="end"/>
      </w:r>
      <w:r>
        <w:fldChar w:fldCharType="end"/>
      </w:r>
    </w:p>
    <w:p>
      <w:pPr>
        <w:pStyle w:val="9"/>
        <w:tabs>
          <w:tab w:val="right" w:leader="dot" w:pos="8296"/>
        </w:tabs>
        <w:ind w:firstLine="640"/>
        <w:rPr>
          <w:rFonts w:asciiTheme="minorHAnsi" w:hAnsiTheme="minorHAnsi" w:eastAsiaTheme="minorEastAsia"/>
          <w:sz w:val="21"/>
        </w:rPr>
      </w:pPr>
      <w:r>
        <w:fldChar w:fldCharType="begin"/>
      </w:r>
      <w:r>
        <w:instrText xml:space="preserve"> HYPERLINK \l "_Toc116564494" </w:instrText>
      </w:r>
      <w:r>
        <w:fldChar w:fldCharType="separate"/>
      </w:r>
      <w:r>
        <w:rPr>
          <w:rStyle w:val="15"/>
        </w:rPr>
        <w:t>附件2  粮油应急供应网点参考标准</w:t>
      </w:r>
      <w:r>
        <w:tab/>
      </w:r>
      <w:r>
        <w:fldChar w:fldCharType="begin"/>
      </w:r>
      <w:r>
        <w:instrText xml:space="preserve"> PAGEREF _Toc116564494 \h </w:instrText>
      </w:r>
      <w:r>
        <w:fldChar w:fldCharType="separate"/>
      </w:r>
      <w:r>
        <w:t>27</w:t>
      </w:r>
      <w:r>
        <w:fldChar w:fldCharType="end"/>
      </w:r>
      <w:r>
        <w:fldChar w:fldCharType="end"/>
      </w:r>
    </w:p>
    <w:p>
      <w:pPr>
        <w:ind w:firstLine="803"/>
        <w:jc w:val="center"/>
        <w:rPr>
          <w:rFonts w:ascii="黑体" w:hAnsi="黑体" w:eastAsia="黑体"/>
          <w:b/>
          <w:bCs/>
          <w:color w:val="000000" w:themeColor="text1"/>
          <w:sz w:val="40"/>
          <w:szCs w:val="32"/>
          <w14:textFill>
            <w14:solidFill>
              <w14:schemeClr w14:val="tx1"/>
            </w14:solidFill>
          </w14:textFill>
        </w:rPr>
        <w:sectPr>
          <w:footerReference r:id="rId11" w:type="first"/>
          <w:pgSz w:w="11906" w:h="16838"/>
          <w:pgMar w:top="1440" w:right="1800" w:bottom="1440" w:left="1800" w:header="851" w:footer="992" w:gutter="0"/>
          <w:pgNumType w:fmt="upperRoman" w:start="1"/>
          <w:cols w:space="425" w:num="1"/>
          <w:docGrid w:type="lines" w:linePitch="408" w:charSpace="0"/>
        </w:sectPr>
      </w:pPr>
      <w:r>
        <w:rPr>
          <w:rFonts w:ascii="黑体" w:hAnsi="黑体" w:eastAsia="黑体"/>
          <w:b/>
          <w:bCs/>
          <w:color w:val="000000" w:themeColor="text1"/>
          <w:sz w:val="40"/>
          <w:szCs w:val="32"/>
          <w14:textFill>
            <w14:solidFill>
              <w14:schemeClr w14:val="tx1"/>
            </w14:solidFill>
          </w14:textFill>
        </w:rPr>
        <w:fldChar w:fldCharType="end"/>
      </w:r>
    </w:p>
    <w:p>
      <w:pPr>
        <w:pStyle w:val="2"/>
      </w:pPr>
      <w:bookmarkStart w:id="6" w:name="_Toc116564470"/>
      <w:r>
        <w:rPr>
          <w:rFonts w:hint="eastAsia"/>
        </w:rPr>
        <w:t xml:space="preserve">前 </w:t>
      </w:r>
      <w:r>
        <w:t xml:space="preserve"> </w:t>
      </w:r>
      <w:r>
        <w:rPr>
          <w:rFonts w:hint="eastAsia"/>
        </w:rPr>
        <w:t>言</w:t>
      </w:r>
      <w:bookmarkEnd w:id="6"/>
    </w:p>
    <w:p>
      <w:pPr>
        <w:ind w:firstLine="640"/>
        <w:rPr>
          <w:rFonts w:ascii="仿宋_GB2312" w:hAnsi="方正仿宋_GBK" w:cs="方正仿宋_GBK"/>
          <w:bCs/>
          <w:szCs w:val="32"/>
        </w:rPr>
      </w:pPr>
      <w:r>
        <w:rPr>
          <w:rFonts w:hint="eastAsia" w:ascii="仿宋_GB2312" w:hAnsi="方正仿宋_GBK" w:cs="方正仿宋_GBK"/>
          <w:bCs/>
          <w:szCs w:val="32"/>
        </w:rPr>
        <w:t>习近平同志指出粮食安全是“国之大者”。近年来，因国际形势风云变幻和新冠肺炎疫情持续影响，粮食安全不确定因素增加。粮油产品是人们基本生活必需品，粮油产品的供应保障和质量安全关系到社会稳定和广大人民群众的身体健康。建立和实施粮油应急储备，建设粮油经营网络和服务体系，确保粮油食品质量安全是保障人民健康水平的重要举措，是体现以人为本、关注民生的一项惠民工程。</w:t>
      </w:r>
    </w:p>
    <w:p>
      <w:pPr>
        <w:ind w:firstLine="640"/>
        <w:rPr>
          <w:rFonts w:ascii="仿宋_GB2312"/>
          <w:color w:val="000000" w:themeColor="text1"/>
          <w:shd w:val="clear" w:color="auto" w:fill="FFFFFF"/>
          <w14:textFill>
            <w14:solidFill>
              <w14:schemeClr w14:val="tx1"/>
            </w14:solidFill>
          </w14:textFill>
        </w:rPr>
      </w:pPr>
      <w:r>
        <w:rPr>
          <w:rFonts w:hint="eastAsia" w:ascii="仿宋_GB2312"/>
          <w:color w:val="000000" w:themeColor="text1"/>
          <w:shd w:val="clear" w:color="auto" w:fill="FFFFFF"/>
          <w14:textFill>
            <w14:solidFill>
              <w14:schemeClr w14:val="tx1"/>
            </w14:solidFill>
          </w14:textFill>
        </w:rPr>
        <w:t>根据党的十九大、十九届二中、三中、四中、五中、六中全会以及中央经济工作会议和中央农村工作会议关于切实保障国家粮食安全，实施新形势下的国家粮食安全战略的要求，贯彻落实《粮食流通管理条例》（2021版）</w:t>
      </w:r>
      <w:r>
        <w:rPr>
          <w:rFonts w:hint="eastAsia" w:ascii="仿宋_GB2312"/>
          <w:bCs/>
          <w:szCs w:val="32"/>
        </w:rPr>
        <w:t>《国家粮食局关于进一步健全和落实 粮食应急供应网点的通知》《四川省粮食和应急物资储备“十四五”发展规划》《四川省粮食安全保障条例》《四川省粮食应急预案（试行）》《达州市国民经济和社会发展第十四个五年规划和二</w:t>
      </w:r>
      <w:r>
        <w:rPr>
          <w:rFonts w:hint="eastAsia" w:ascii="微软雅黑" w:hAnsi="微软雅黑" w:eastAsia="微软雅黑" w:cs="微软雅黑"/>
          <w:bCs/>
          <w:szCs w:val="32"/>
        </w:rPr>
        <w:t>〇</w:t>
      </w:r>
      <w:r>
        <w:rPr>
          <w:rFonts w:hint="eastAsia" w:ascii="仿宋_GB2312" w:hAnsi="仿宋_GB2312" w:cs="仿宋_GB2312"/>
          <w:bCs/>
          <w:szCs w:val="32"/>
        </w:rPr>
        <w:t>三五年远景目标纲要</w:t>
      </w:r>
      <w:r>
        <w:rPr>
          <w:rFonts w:hint="eastAsia" w:ascii="仿宋_GB2312"/>
          <w:bCs/>
          <w:szCs w:val="32"/>
        </w:rPr>
        <w:t>》《达州市粮食应急预案（试行）》等文件精神，结合我市实际，</w:t>
      </w:r>
      <w:r>
        <w:rPr>
          <w:rFonts w:hint="eastAsia" w:ascii="仿宋_GB2312"/>
          <w:color w:val="000000" w:themeColor="text1"/>
          <w:shd w:val="clear" w:color="auto" w:fill="FFFFFF"/>
          <w14:textFill>
            <w14:solidFill>
              <w14:schemeClr w14:val="tx1"/>
            </w14:solidFill>
          </w14:textFill>
        </w:rPr>
        <w:t>特编制本规划。</w:t>
      </w:r>
    </w:p>
    <w:p>
      <w:pPr>
        <w:ind w:firstLine="64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规划期限为202</w:t>
      </w:r>
      <w:r>
        <w:rPr>
          <w:rFonts w:hint="eastAsia" w:ascii="仿宋_GB2312"/>
          <w:color w:val="000000" w:themeColor="text1"/>
          <w:lang w:val="en-US" w:eastAsia="zh-CN"/>
          <w14:textFill>
            <w14:solidFill>
              <w14:schemeClr w14:val="tx1"/>
            </w14:solidFill>
          </w14:textFill>
        </w:rPr>
        <w:t>2</w:t>
      </w:r>
      <w:r>
        <w:rPr>
          <w:rFonts w:hint="eastAsia" w:ascii="仿宋_GB2312"/>
          <w:color w:val="000000" w:themeColor="text1"/>
          <w14:textFill>
            <w14:solidFill>
              <w14:schemeClr w14:val="tx1"/>
            </w14:solidFill>
          </w14:textFill>
        </w:rPr>
        <w:t>年至2025年。</w:t>
      </w:r>
    </w:p>
    <w:p>
      <w:pPr>
        <w:ind w:firstLine="640"/>
        <w:rPr>
          <w:color w:val="000000" w:themeColor="text1"/>
          <w14:textFill>
            <w14:solidFill>
              <w14:schemeClr w14:val="tx1"/>
            </w14:solidFill>
          </w14:textFill>
        </w:rPr>
      </w:pPr>
    </w:p>
    <w:p>
      <w:pPr>
        <w:ind w:firstLine="640"/>
        <w:rPr>
          <w:color w:val="000000" w:themeColor="text1"/>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pPr>
        <w:pStyle w:val="2"/>
      </w:pPr>
      <w:bookmarkStart w:id="7" w:name="_Toc116564471"/>
      <w:r>
        <w:rPr>
          <w:rFonts w:hint="eastAsia"/>
        </w:rPr>
        <w:t xml:space="preserve">第一章 </w:t>
      </w:r>
      <w:r>
        <w:t xml:space="preserve"> </w:t>
      </w:r>
      <w:r>
        <w:rPr>
          <w:rFonts w:hint="eastAsia"/>
        </w:rPr>
        <w:t>规划背景</w:t>
      </w:r>
      <w:bookmarkEnd w:id="7"/>
    </w:p>
    <w:p>
      <w:pPr>
        <w:pStyle w:val="3"/>
      </w:pPr>
      <w:bookmarkStart w:id="8" w:name="_Toc116564472"/>
      <w:r>
        <w:rPr>
          <w:rFonts w:hint="eastAsia"/>
        </w:rPr>
        <w:t>第一节 发展现状</w:t>
      </w:r>
      <w:bookmarkEnd w:id="8"/>
    </w:p>
    <w:p>
      <w:pPr>
        <w:pStyle w:val="4"/>
      </w:pPr>
      <w:r>
        <w:rPr>
          <w:rFonts w:hint="eastAsia"/>
        </w:rPr>
        <w:t>一、粮油储备保障能力增强</w:t>
      </w:r>
    </w:p>
    <w:p>
      <w:pPr>
        <w:ind w:firstLine="560" w:firstLineChars="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粮食安全是国家安全的重要基础，作为全省产粮大市，达州市在保障粮食安全方面肩负着重大责任和历史使命</w:t>
      </w:r>
      <w:r>
        <w:rPr>
          <w:rFonts w:ascii="仿宋_GB2312"/>
          <w:color w:val="000000" w:themeColor="text1"/>
          <w14:textFill>
            <w14:solidFill>
              <w14:schemeClr w14:val="tx1"/>
            </w14:solidFill>
          </w14:textFill>
        </w:rPr>
        <w:t>。</w:t>
      </w:r>
      <w:r>
        <w:rPr>
          <w:rFonts w:hint="eastAsia" w:ascii="仿宋_GB2312"/>
          <w:color w:val="000000" w:themeColor="text1"/>
          <w14:textFill>
            <w14:solidFill>
              <w14:schemeClr w14:val="tx1"/>
            </w14:solidFill>
          </w14:textFill>
        </w:rPr>
        <w:t>达州市地处四川东部，是国家农业综合开发的重点地区，是国家商品粮和优质生猪生产基地，是中国苎麻之乡、中国黄花之乡、中国乌梅之乡、中国糯米之乡、中国油橄榄之都、中国富硒茶之都、中国醪糟之都、中国南方第一牛业大县。</w:t>
      </w:r>
      <w:r>
        <w:rPr>
          <w:rFonts w:ascii="仿宋_GB2312"/>
          <w:color w:val="000000" w:themeColor="text1"/>
          <w14:textFill>
            <w14:solidFill>
              <w14:schemeClr w14:val="tx1"/>
            </w14:solidFill>
          </w14:textFill>
        </w:rPr>
        <w:t>2021年</w:t>
      </w:r>
      <w:r>
        <w:rPr>
          <w:rFonts w:hint="eastAsia" w:ascii="仿宋_GB2312"/>
          <w:color w:val="000000" w:themeColor="text1"/>
          <w14:textFill>
            <w14:solidFill>
              <w14:schemeClr w14:val="tx1"/>
            </w14:solidFill>
          </w14:textFill>
        </w:rPr>
        <w:t>，</w:t>
      </w:r>
      <w:r>
        <w:rPr>
          <w:rFonts w:ascii="仿宋_GB2312"/>
          <w:color w:val="000000" w:themeColor="text1"/>
          <w14:textFill>
            <w14:solidFill>
              <w14:schemeClr w14:val="tx1"/>
            </w14:solidFill>
          </w14:textFill>
        </w:rPr>
        <w:t>达州</w:t>
      </w:r>
      <w:r>
        <w:rPr>
          <w:rFonts w:hint="eastAsia" w:ascii="仿宋_GB2312"/>
          <w:color w:val="000000" w:themeColor="text1"/>
          <w14:textFill>
            <w14:solidFill>
              <w14:schemeClr w14:val="tx1"/>
            </w14:solidFill>
          </w14:textFill>
        </w:rPr>
        <w:t>市</w:t>
      </w:r>
      <w:r>
        <w:rPr>
          <w:rFonts w:ascii="仿宋_GB2312"/>
          <w:color w:val="000000" w:themeColor="text1"/>
          <w14:textFill>
            <w14:solidFill>
              <w14:schemeClr w14:val="tx1"/>
            </w14:solidFill>
          </w14:textFill>
        </w:rPr>
        <w:t>粮食产量324.2万吨，</w:t>
      </w:r>
      <w:r>
        <w:rPr>
          <w:rFonts w:hint="eastAsia" w:ascii="仿宋_GB2312"/>
          <w:color w:val="000000" w:themeColor="text1"/>
          <w14:textFill>
            <w14:solidFill>
              <w14:schemeClr w14:val="tx1"/>
            </w14:solidFill>
          </w14:textFill>
        </w:rPr>
        <w:t>占四川全省粮食全年增量的8.9%，粮食总产量</w:t>
      </w:r>
      <w:r>
        <w:rPr>
          <w:rFonts w:ascii="仿宋_GB2312"/>
          <w:color w:val="000000" w:themeColor="text1"/>
          <w14:textFill>
            <w14:solidFill>
              <w14:schemeClr w14:val="tx1"/>
            </w14:solidFill>
          </w14:textFill>
        </w:rPr>
        <w:t>连续9年稳居全省第一</w:t>
      </w:r>
      <w:r>
        <w:rPr>
          <w:rFonts w:hint="eastAsia" w:ascii="仿宋_GB2312"/>
          <w:color w:val="000000" w:themeColor="text1"/>
          <w14:textFill>
            <w14:solidFill>
              <w14:schemeClr w14:val="tx1"/>
            </w14:solidFill>
          </w14:textFill>
        </w:rPr>
        <w:t>，</w:t>
      </w:r>
      <w:r>
        <w:rPr>
          <w:rFonts w:ascii="仿宋_GB2312"/>
          <w:color w:val="000000" w:themeColor="text1"/>
          <w14:textFill>
            <w14:solidFill>
              <w14:schemeClr w14:val="tx1"/>
            </w14:solidFill>
          </w14:textFill>
        </w:rPr>
        <w:t>油料产量居全省第三，连续6</w:t>
      </w:r>
      <w:r>
        <w:rPr>
          <w:rFonts w:hint="eastAsia" w:ascii="仿宋_GB2312"/>
          <w:color w:val="000000" w:themeColor="text1"/>
          <w14:textFill>
            <w14:solidFill>
              <w14:schemeClr w14:val="tx1"/>
            </w14:solidFill>
          </w14:textFill>
        </w:rPr>
        <w:t>年捧得省政府“丰收杯”。</w:t>
      </w:r>
      <w:r>
        <w:rPr>
          <w:rFonts w:ascii="仿宋_GB2312"/>
          <w:color w:val="000000" w:themeColor="text1"/>
          <w14:textFill>
            <w14:solidFill>
              <w14:schemeClr w14:val="tx1"/>
            </w14:solidFill>
          </w14:textFill>
        </w:rPr>
        <w:t>从2011年至2021年，达州市</w:t>
      </w:r>
      <w:r>
        <w:rPr>
          <w:rFonts w:hint="eastAsia" w:ascii="仿宋_GB2312"/>
          <w:color w:val="000000" w:themeColor="text1"/>
          <w14:textFill>
            <w14:solidFill>
              <w14:schemeClr w14:val="tx1"/>
            </w14:solidFill>
          </w14:textFill>
        </w:rPr>
        <w:t>累计建成</w:t>
      </w:r>
      <w:r>
        <w:rPr>
          <w:rFonts w:ascii="仿宋_GB2312"/>
          <w:color w:val="000000" w:themeColor="text1"/>
          <w14:textFill>
            <w14:solidFill>
              <w14:schemeClr w14:val="tx1"/>
            </w14:solidFill>
          </w14:textFill>
        </w:rPr>
        <w:t>高标准农田384万亩。</w:t>
      </w:r>
      <w:r>
        <w:rPr>
          <w:rFonts w:hint="eastAsia" w:ascii="仿宋_GB2312"/>
          <w:color w:val="000000" w:themeColor="text1"/>
          <w14:textFill>
            <w14:solidFill>
              <w14:schemeClr w14:val="tx1"/>
            </w14:solidFill>
          </w14:textFill>
        </w:rPr>
        <w:t>2</w:t>
      </w:r>
      <w:r>
        <w:rPr>
          <w:rFonts w:ascii="仿宋_GB2312"/>
          <w:color w:val="000000" w:themeColor="text1"/>
          <w14:textFill>
            <w14:solidFill>
              <w14:schemeClr w14:val="tx1"/>
            </w14:solidFill>
          </w14:textFill>
        </w:rPr>
        <w:t>022年，达州市优先支持以粮油为主的现代农业园区发展，在永久基本农田、粮食功能区、重要农产品保护区等新建高标准农田，确保完成省上下达的40万亩高标准农田建设任务。</w:t>
      </w:r>
      <w:r>
        <w:rPr>
          <w:rFonts w:hint="eastAsia" w:ascii="仿宋_GB2312"/>
          <w:color w:val="000000" w:themeColor="text1"/>
          <w14:textFill>
            <w14:solidFill>
              <w14:schemeClr w14:val="tx1"/>
            </w14:solidFill>
          </w14:textFill>
        </w:rPr>
        <w:t>全年粮食播面855万亩，比2021年增加8万余亩，预计总产量6</w:t>
      </w:r>
      <w:r>
        <w:rPr>
          <w:rFonts w:ascii="仿宋_GB2312"/>
          <w:color w:val="000000" w:themeColor="text1"/>
          <w14:textFill>
            <w14:solidFill>
              <w14:schemeClr w14:val="tx1"/>
            </w14:solidFill>
          </w14:textFill>
        </w:rPr>
        <w:t>6</w:t>
      </w:r>
      <w:r>
        <w:rPr>
          <w:rFonts w:hint="eastAsia" w:ascii="仿宋_GB2312"/>
          <w:color w:val="000000" w:themeColor="text1"/>
          <w14:textFill>
            <w14:solidFill>
              <w14:schemeClr w14:val="tx1"/>
            </w14:solidFill>
          </w14:textFill>
        </w:rPr>
        <w:t>亿斤，增量1亿斤以上。</w:t>
      </w:r>
    </w:p>
    <w:p>
      <w:pPr>
        <w:pStyle w:val="5"/>
        <w:ind w:firstLine="640"/>
        <w:rPr>
          <w:rFonts w:ascii="黑体" w:hAnsi="黑体" w:eastAsia="黑体"/>
          <w:b w:val="0"/>
        </w:rPr>
      </w:pPr>
      <w:r>
        <w:rPr>
          <w:rFonts w:hint="eastAsia" w:ascii="黑体" w:hAnsi="黑体" w:eastAsia="黑体"/>
          <w:b w:val="0"/>
        </w:rPr>
        <w:t>表</w:t>
      </w:r>
      <w:r>
        <w:rPr>
          <w:rFonts w:ascii="黑体" w:hAnsi="黑体" w:eastAsia="黑体"/>
          <w:b w:val="0"/>
        </w:rPr>
        <w:t>1</w:t>
      </w:r>
      <w:r>
        <w:rPr>
          <w:rFonts w:hint="eastAsia" w:ascii="黑体" w:hAnsi="黑体" w:eastAsia="黑体"/>
          <w:b w:val="0"/>
        </w:rPr>
        <w:t>：达州市粮油产业区域布局</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06"/>
        <w:gridCol w:w="1839"/>
        <w:gridCol w:w="4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2312" w:type="pct"/>
            <w:gridSpan w:val="2"/>
            <w:vAlign w:val="center"/>
          </w:tcPr>
          <w:p>
            <w:pPr>
              <w:pStyle w:val="25"/>
              <w:adjustRightInd w:val="0"/>
              <w:snapToGrid w:val="0"/>
              <w:spacing w:line="276" w:lineRule="auto"/>
              <w:rPr>
                <w:rFonts w:ascii="仿宋_GB2312" w:eastAsia="仿宋_GB2312"/>
                <w:b/>
                <w:sz w:val="32"/>
                <w:szCs w:val="32"/>
                <w:lang w:eastAsia="en-US"/>
              </w:rPr>
            </w:pPr>
            <w:r>
              <w:rPr>
                <w:rFonts w:hint="eastAsia" w:ascii="仿宋_GB2312" w:eastAsia="仿宋_GB2312"/>
                <w:b/>
                <w:sz w:val="32"/>
                <w:szCs w:val="32"/>
                <w:lang w:eastAsia="en-US"/>
              </w:rPr>
              <w:t>产业</w:t>
            </w:r>
          </w:p>
        </w:tc>
        <w:tc>
          <w:tcPr>
            <w:tcW w:w="2688" w:type="pct"/>
            <w:vAlign w:val="center"/>
          </w:tcPr>
          <w:p>
            <w:pPr>
              <w:pStyle w:val="25"/>
              <w:adjustRightInd w:val="0"/>
              <w:snapToGrid w:val="0"/>
              <w:spacing w:line="276" w:lineRule="auto"/>
              <w:rPr>
                <w:rFonts w:ascii="仿宋_GB2312" w:eastAsia="仿宋_GB2312"/>
                <w:b/>
                <w:sz w:val="32"/>
                <w:szCs w:val="32"/>
                <w:lang w:eastAsia="en-US"/>
              </w:rPr>
            </w:pPr>
            <w:r>
              <w:rPr>
                <w:rFonts w:hint="eastAsia" w:ascii="仿宋_GB2312" w:eastAsia="仿宋_GB2312"/>
                <w:b/>
                <w:sz w:val="32"/>
                <w:szCs w:val="32"/>
                <w:lang w:eastAsia="en-US"/>
              </w:rPr>
              <w:t>县（市、区）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312" w:type="pct"/>
            <w:gridSpan w:val="2"/>
            <w:vAlign w:val="center"/>
          </w:tcPr>
          <w:p>
            <w:pPr>
              <w:pStyle w:val="25"/>
              <w:adjustRightInd w:val="0"/>
              <w:snapToGrid w:val="0"/>
              <w:spacing w:line="276" w:lineRule="auto"/>
              <w:rPr>
                <w:rFonts w:ascii="仿宋_GB2312" w:eastAsia="仿宋_GB2312"/>
                <w:sz w:val="32"/>
                <w:szCs w:val="32"/>
                <w:lang w:eastAsia="en-US"/>
              </w:rPr>
            </w:pPr>
            <w:r>
              <w:rPr>
                <w:rFonts w:hint="eastAsia" w:ascii="仿宋_GB2312" w:eastAsia="仿宋_GB2312"/>
                <w:sz w:val="32"/>
                <w:szCs w:val="32"/>
                <w:lang w:eastAsia="en-US"/>
              </w:rPr>
              <w:t>粮食生产重点县</w:t>
            </w:r>
          </w:p>
        </w:tc>
        <w:tc>
          <w:tcPr>
            <w:tcW w:w="2688" w:type="pct"/>
            <w:vAlign w:val="center"/>
          </w:tcPr>
          <w:p>
            <w:pPr>
              <w:pStyle w:val="25"/>
              <w:adjustRightInd w:val="0"/>
              <w:snapToGrid w:val="0"/>
              <w:spacing w:line="276" w:lineRule="auto"/>
              <w:rPr>
                <w:rFonts w:ascii="仿宋_GB2312" w:eastAsia="仿宋_GB2312"/>
                <w:sz w:val="32"/>
                <w:szCs w:val="32"/>
                <w:lang w:eastAsia="zh-CN"/>
              </w:rPr>
            </w:pPr>
            <w:r>
              <w:rPr>
                <w:rFonts w:hint="eastAsia" w:ascii="仿宋_GB2312" w:eastAsia="仿宋_GB2312"/>
                <w:sz w:val="32"/>
                <w:szCs w:val="32"/>
                <w:lang w:eastAsia="zh-CN"/>
              </w:rPr>
              <w:t>通川区、达川区、万源市、宣汉县、大竹县、渠县、开江县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312" w:type="pct"/>
            <w:gridSpan w:val="2"/>
            <w:vAlign w:val="center"/>
          </w:tcPr>
          <w:p>
            <w:pPr>
              <w:pStyle w:val="25"/>
              <w:adjustRightInd w:val="0"/>
              <w:snapToGrid w:val="0"/>
              <w:spacing w:line="276" w:lineRule="auto"/>
              <w:rPr>
                <w:rFonts w:ascii="仿宋_GB2312" w:eastAsia="仿宋_GB2312"/>
                <w:sz w:val="32"/>
                <w:szCs w:val="32"/>
                <w:lang w:eastAsia="en-US"/>
              </w:rPr>
            </w:pPr>
            <w:r>
              <w:rPr>
                <w:rFonts w:hint="eastAsia" w:ascii="仿宋_GB2312" w:eastAsia="仿宋_GB2312"/>
                <w:sz w:val="32"/>
                <w:szCs w:val="32"/>
                <w:lang w:eastAsia="en-US"/>
              </w:rPr>
              <w:t>产油大县</w:t>
            </w:r>
          </w:p>
        </w:tc>
        <w:tc>
          <w:tcPr>
            <w:tcW w:w="2688" w:type="pct"/>
            <w:vAlign w:val="center"/>
          </w:tcPr>
          <w:p>
            <w:pPr>
              <w:pStyle w:val="25"/>
              <w:adjustRightInd w:val="0"/>
              <w:snapToGrid w:val="0"/>
              <w:spacing w:line="276" w:lineRule="auto"/>
              <w:rPr>
                <w:rFonts w:ascii="仿宋_GB2312" w:eastAsia="仿宋_GB2312"/>
                <w:sz w:val="32"/>
                <w:szCs w:val="32"/>
                <w:lang w:eastAsia="zh-CN"/>
              </w:rPr>
            </w:pPr>
            <w:r>
              <w:rPr>
                <w:rFonts w:hint="eastAsia" w:ascii="仿宋_GB2312" w:eastAsia="仿宋_GB2312"/>
                <w:sz w:val="32"/>
                <w:szCs w:val="32"/>
                <w:lang w:eastAsia="zh-CN"/>
              </w:rPr>
              <w:t>达川区、宣汉县、大竹县、渠县、开江县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06" w:type="pct"/>
            <w:vMerge w:val="restart"/>
            <w:vAlign w:val="center"/>
          </w:tcPr>
          <w:p>
            <w:pPr>
              <w:pStyle w:val="25"/>
              <w:adjustRightInd w:val="0"/>
              <w:snapToGrid w:val="0"/>
              <w:spacing w:line="276" w:lineRule="auto"/>
              <w:rPr>
                <w:rFonts w:ascii="仿宋_GB2312" w:eastAsia="仿宋_GB2312"/>
                <w:sz w:val="32"/>
                <w:szCs w:val="32"/>
                <w:lang w:eastAsia="zh-CN"/>
              </w:rPr>
            </w:pPr>
            <w:r>
              <w:rPr>
                <w:rFonts w:hint="eastAsia" w:ascii="仿宋_GB2312" w:eastAsia="仿宋_GB2312"/>
                <w:sz w:val="32"/>
                <w:szCs w:val="32"/>
                <w:lang w:eastAsia="zh-CN"/>
              </w:rPr>
              <w:t>优质专用粮油基地建设重点县</w:t>
            </w:r>
          </w:p>
        </w:tc>
        <w:tc>
          <w:tcPr>
            <w:tcW w:w="1106" w:type="pct"/>
            <w:vAlign w:val="center"/>
          </w:tcPr>
          <w:p>
            <w:pPr>
              <w:pStyle w:val="25"/>
              <w:adjustRightInd w:val="0"/>
              <w:snapToGrid w:val="0"/>
              <w:spacing w:line="276" w:lineRule="auto"/>
              <w:rPr>
                <w:rFonts w:ascii="仿宋_GB2312" w:eastAsia="仿宋_GB2312"/>
                <w:sz w:val="32"/>
                <w:szCs w:val="32"/>
                <w:lang w:eastAsia="en-US"/>
              </w:rPr>
            </w:pPr>
            <w:r>
              <w:rPr>
                <w:rFonts w:hint="eastAsia" w:ascii="仿宋_GB2312" w:eastAsia="仿宋_GB2312"/>
                <w:sz w:val="32"/>
                <w:szCs w:val="32"/>
                <w:lang w:eastAsia="en-US"/>
              </w:rPr>
              <w:t>优质稻发展重点县</w:t>
            </w:r>
          </w:p>
        </w:tc>
        <w:tc>
          <w:tcPr>
            <w:tcW w:w="2688" w:type="pct"/>
            <w:vAlign w:val="center"/>
          </w:tcPr>
          <w:p>
            <w:pPr>
              <w:pStyle w:val="25"/>
              <w:adjustRightInd w:val="0"/>
              <w:snapToGrid w:val="0"/>
              <w:spacing w:line="276" w:lineRule="auto"/>
              <w:rPr>
                <w:rFonts w:ascii="仿宋_GB2312" w:eastAsia="仿宋_GB2312"/>
                <w:sz w:val="32"/>
                <w:szCs w:val="32"/>
                <w:lang w:eastAsia="zh-CN"/>
              </w:rPr>
            </w:pPr>
            <w:r>
              <w:rPr>
                <w:rFonts w:hint="eastAsia" w:ascii="仿宋_GB2312" w:eastAsia="仿宋_GB2312"/>
                <w:sz w:val="32"/>
                <w:szCs w:val="32"/>
                <w:lang w:eastAsia="zh-CN"/>
              </w:rPr>
              <w:t>通川区、达川区、万源市、宣汉县、大竹县、渠县、开江县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06" w:type="pct"/>
            <w:vMerge w:val="continue"/>
            <w:tcBorders>
              <w:top w:val="nil"/>
            </w:tcBorders>
            <w:vAlign w:val="center"/>
          </w:tcPr>
          <w:p>
            <w:pPr>
              <w:autoSpaceDE w:val="0"/>
              <w:autoSpaceDN w:val="0"/>
              <w:spacing w:line="276" w:lineRule="auto"/>
              <w:ind w:firstLine="640"/>
              <w:jc w:val="center"/>
              <w:rPr>
                <w:rFonts w:ascii="仿宋_GB2312" w:hAnsiTheme="minorHAnsi"/>
                <w:szCs w:val="32"/>
                <w:lang w:eastAsia="zh-CN"/>
              </w:rPr>
            </w:pPr>
          </w:p>
        </w:tc>
        <w:tc>
          <w:tcPr>
            <w:tcW w:w="1106" w:type="pct"/>
            <w:vAlign w:val="center"/>
          </w:tcPr>
          <w:p>
            <w:pPr>
              <w:pStyle w:val="25"/>
              <w:adjustRightInd w:val="0"/>
              <w:snapToGrid w:val="0"/>
              <w:spacing w:line="276" w:lineRule="auto"/>
              <w:rPr>
                <w:rFonts w:ascii="仿宋_GB2312" w:eastAsia="仿宋_GB2312"/>
                <w:sz w:val="32"/>
                <w:szCs w:val="32"/>
                <w:lang w:eastAsia="en-US"/>
              </w:rPr>
            </w:pPr>
            <w:r>
              <w:rPr>
                <w:rFonts w:hint="eastAsia" w:ascii="仿宋_GB2312" w:eastAsia="仿宋_GB2312"/>
                <w:sz w:val="32"/>
                <w:szCs w:val="32"/>
                <w:lang w:eastAsia="en-US"/>
              </w:rPr>
              <w:t>产油大县示范县</w:t>
            </w:r>
          </w:p>
        </w:tc>
        <w:tc>
          <w:tcPr>
            <w:tcW w:w="2688" w:type="pct"/>
            <w:vAlign w:val="center"/>
          </w:tcPr>
          <w:p>
            <w:pPr>
              <w:pStyle w:val="25"/>
              <w:adjustRightInd w:val="0"/>
              <w:snapToGrid w:val="0"/>
              <w:spacing w:line="276" w:lineRule="auto"/>
              <w:rPr>
                <w:rFonts w:ascii="仿宋_GB2312" w:eastAsia="仿宋_GB2312"/>
                <w:sz w:val="32"/>
                <w:szCs w:val="32"/>
                <w:lang w:eastAsia="zh-CN"/>
              </w:rPr>
            </w:pPr>
            <w:r>
              <w:rPr>
                <w:rFonts w:hint="eastAsia" w:ascii="仿宋_GB2312" w:eastAsia="仿宋_GB2312"/>
                <w:sz w:val="32"/>
                <w:szCs w:val="32"/>
                <w:lang w:eastAsia="zh-CN"/>
              </w:rPr>
              <w:t>达川区、万源市、宣汉县、大竹县、渠县、开江县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06" w:type="pct"/>
            <w:vMerge w:val="continue"/>
            <w:tcBorders>
              <w:top w:val="nil"/>
            </w:tcBorders>
            <w:vAlign w:val="center"/>
          </w:tcPr>
          <w:p>
            <w:pPr>
              <w:autoSpaceDE w:val="0"/>
              <w:autoSpaceDN w:val="0"/>
              <w:spacing w:line="276" w:lineRule="auto"/>
              <w:ind w:firstLine="640"/>
              <w:jc w:val="center"/>
              <w:rPr>
                <w:rFonts w:ascii="仿宋_GB2312" w:hAnsiTheme="minorHAnsi"/>
                <w:szCs w:val="32"/>
                <w:lang w:eastAsia="zh-CN"/>
              </w:rPr>
            </w:pPr>
          </w:p>
        </w:tc>
        <w:tc>
          <w:tcPr>
            <w:tcW w:w="1106" w:type="pct"/>
            <w:vAlign w:val="center"/>
          </w:tcPr>
          <w:p>
            <w:pPr>
              <w:pStyle w:val="25"/>
              <w:adjustRightInd w:val="0"/>
              <w:snapToGrid w:val="0"/>
              <w:spacing w:line="276" w:lineRule="auto"/>
              <w:rPr>
                <w:rFonts w:ascii="仿宋_GB2312" w:eastAsia="仿宋_GB2312"/>
                <w:sz w:val="32"/>
                <w:szCs w:val="32"/>
                <w:lang w:eastAsia="en-US"/>
              </w:rPr>
            </w:pPr>
            <w:r>
              <w:rPr>
                <w:rFonts w:hint="eastAsia" w:ascii="仿宋_GB2312" w:eastAsia="仿宋_GB2312"/>
                <w:sz w:val="32"/>
                <w:szCs w:val="32"/>
                <w:lang w:eastAsia="en-US"/>
              </w:rPr>
              <w:t>青贮饲用玉米重点县</w:t>
            </w:r>
          </w:p>
        </w:tc>
        <w:tc>
          <w:tcPr>
            <w:tcW w:w="2688" w:type="pct"/>
            <w:vAlign w:val="center"/>
          </w:tcPr>
          <w:p>
            <w:pPr>
              <w:pStyle w:val="25"/>
              <w:adjustRightInd w:val="0"/>
              <w:snapToGrid w:val="0"/>
              <w:spacing w:line="276" w:lineRule="auto"/>
              <w:rPr>
                <w:rFonts w:ascii="仿宋_GB2312" w:eastAsia="仿宋_GB2312"/>
                <w:sz w:val="32"/>
                <w:szCs w:val="32"/>
                <w:lang w:eastAsia="zh-CN"/>
              </w:rPr>
            </w:pPr>
            <w:r>
              <w:rPr>
                <w:rFonts w:hint="eastAsia" w:ascii="仿宋_GB2312" w:eastAsia="仿宋_GB2312"/>
                <w:sz w:val="32"/>
                <w:szCs w:val="32"/>
                <w:lang w:eastAsia="zh-CN"/>
              </w:rPr>
              <w:t>宣汉县、开江县、渠县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06" w:type="pct"/>
            <w:vMerge w:val="continue"/>
            <w:tcBorders>
              <w:top w:val="nil"/>
            </w:tcBorders>
            <w:vAlign w:val="center"/>
          </w:tcPr>
          <w:p>
            <w:pPr>
              <w:autoSpaceDE w:val="0"/>
              <w:autoSpaceDN w:val="0"/>
              <w:spacing w:line="276" w:lineRule="auto"/>
              <w:ind w:firstLine="640"/>
              <w:jc w:val="center"/>
              <w:rPr>
                <w:rFonts w:ascii="仿宋_GB2312" w:hAnsiTheme="minorHAnsi"/>
                <w:szCs w:val="32"/>
                <w:lang w:eastAsia="zh-CN"/>
              </w:rPr>
            </w:pPr>
          </w:p>
        </w:tc>
        <w:tc>
          <w:tcPr>
            <w:tcW w:w="1106" w:type="pct"/>
            <w:vAlign w:val="center"/>
          </w:tcPr>
          <w:p>
            <w:pPr>
              <w:pStyle w:val="25"/>
              <w:adjustRightInd w:val="0"/>
              <w:snapToGrid w:val="0"/>
              <w:spacing w:line="276" w:lineRule="auto"/>
              <w:rPr>
                <w:rFonts w:ascii="仿宋_GB2312" w:eastAsia="仿宋_GB2312"/>
                <w:sz w:val="32"/>
                <w:szCs w:val="32"/>
                <w:lang w:eastAsia="en-US"/>
              </w:rPr>
            </w:pPr>
            <w:r>
              <w:rPr>
                <w:rFonts w:hint="eastAsia" w:ascii="仿宋_GB2312" w:eastAsia="仿宋_GB2312"/>
                <w:sz w:val="32"/>
                <w:szCs w:val="32"/>
                <w:lang w:eastAsia="en-US"/>
              </w:rPr>
              <w:t>薯类基地重点县</w:t>
            </w:r>
          </w:p>
        </w:tc>
        <w:tc>
          <w:tcPr>
            <w:tcW w:w="2688" w:type="pct"/>
            <w:vAlign w:val="center"/>
          </w:tcPr>
          <w:p>
            <w:pPr>
              <w:pStyle w:val="25"/>
              <w:adjustRightInd w:val="0"/>
              <w:snapToGrid w:val="0"/>
              <w:spacing w:line="276" w:lineRule="auto"/>
              <w:rPr>
                <w:rFonts w:ascii="仿宋_GB2312" w:eastAsia="仿宋_GB2312"/>
                <w:sz w:val="32"/>
                <w:szCs w:val="32"/>
                <w:lang w:eastAsia="zh-CN"/>
              </w:rPr>
            </w:pPr>
            <w:r>
              <w:rPr>
                <w:rFonts w:hint="eastAsia" w:ascii="仿宋_GB2312" w:eastAsia="仿宋_GB2312"/>
                <w:sz w:val="32"/>
                <w:szCs w:val="32"/>
                <w:lang w:eastAsia="zh-CN"/>
              </w:rPr>
              <w:t>万源市、宣汉县、渠县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06" w:type="pct"/>
            <w:vMerge w:val="continue"/>
            <w:tcBorders>
              <w:top w:val="nil"/>
            </w:tcBorders>
            <w:vAlign w:val="center"/>
          </w:tcPr>
          <w:p>
            <w:pPr>
              <w:autoSpaceDE w:val="0"/>
              <w:autoSpaceDN w:val="0"/>
              <w:spacing w:line="276" w:lineRule="auto"/>
              <w:ind w:firstLine="640"/>
              <w:jc w:val="center"/>
              <w:rPr>
                <w:rFonts w:ascii="仿宋_GB2312" w:hAnsiTheme="minorHAnsi"/>
                <w:szCs w:val="32"/>
                <w:lang w:eastAsia="zh-CN"/>
              </w:rPr>
            </w:pPr>
          </w:p>
        </w:tc>
        <w:tc>
          <w:tcPr>
            <w:tcW w:w="1106" w:type="pct"/>
            <w:vAlign w:val="center"/>
          </w:tcPr>
          <w:p>
            <w:pPr>
              <w:pStyle w:val="25"/>
              <w:adjustRightInd w:val="0"/>
              <w:snapToGrid w:val="0"/>
              <w:spacing w:line="276" w:lineRule="auto"/>
              <w:rPr>
                <w:rFonts w:ascii="仿宋_GB2312" w:eastAsia="仿宋_GB2312"/>
                <w:sz w:val="32"/>
                <w:szCs w:val="32"/>
                <w:lang w:eastAsia="en-US"/>
              </w:rPr>
            </w:pPr>
            <w:r>
              <w:rPr>
                <w:rFonts w:hint="eastAsia" w:ascii="仿宋_GB2312" w:eastAsia="仿宋_GB2312"/>
                <w:sz w:val="32"/>
                <w:szCs w:val="32"/>
                <w:lang w:eastAsia="en-US"/>
              </w:rPr>
              <w:t>油橄榄发展重点县</w:t>
            </w:r>
          </w:p>
        </w:tc>
        <w:tc>
          <w:tcPr>
            <w:tcW w:w="2688" w:type="pct"/>
            <w:vAlign w:val="center"/>
          </w:tcPr>
          <w:p>
            <w:pPr>
              <w:pStyle w:val="25"/>
              <w:adjustRightInd w:val="0"/>
              <w:snapToGrid w:val="0"/>
              <w:spacing w:line="276" w:lineRule="auto"/>
              <w:rPr>
                <w:rFonts w:ascii="仿宋_GB2312" w:eastAsia="仿宋_GB2312"/>
                <w:sz w:val="32"/>
                <w:szCs w:val="32"/>
                <w:lang w:eastAsia="en-US"/>
              </w:rPr>
            </w:pPr>
            <w:r>
              <w:rPr>
                <w:rFonts w:hint="eastAsia" w:ascii="仿宋_GB2312" w:eastAsia="仿宋_GB2312"/>
                <w:sz w:val="32"/>
                <w:szCs w:val="32"/>
                <w:lang w:eastAsia="en-US"/>
              </w:rPr>
              <w:t>开江县</w:t>
            </w:r>
          </w:p>
        </w:tc>
      </w:tr>
    </w:tbl>
    <w:p>
      <w:pPr>
        <w:ind w:firstLine="0" w:firstLineChars="0"/>
      </w:pPr>
    </w:p>
    <w:p>
      <w:pPr>
        <w:ind w:firstLine="0" w:firstLineChars="0"/>
        <w:rPr>
          <w:rFonts w:ascii="黑体" w:hAnsi="黑体" w:eastAsia="黑体"/>
        </w:rPr>
      </w:pPr>
      <w:r>
        <w:rPr>
          <w:rFonts w:hint="eastAsia" w:ascii="黑体" w:hAnsi="黑体" w:eastAsia="黑体"/>
          <w:sz w:val="21"/>
        </w:rPr>
        <w:t>资料来源：达州市“十四五”推进农业农村现代化规划</w:t>
      </w:r>
    </w:p>
    <w:p>
      <w:pPr>
        <w:ind w:firstLine="560" w:firstLineChars="0"/>
        <w:rPr>
          <w:rFonts w:ascii="仿宋_GB2312"/>
          <w:color w:val="000000" w:themeColor="text1"/>
          <w14:textFill>
            <w14:solidFill>
              <w14:schemeClr w14:val="tx1"/>
            </w14:solidFill>
          </w14:textFill>
        </w:rPr>
      </w:pPr>
    </w:p>
    <w:p>
      <w:pPr>
        <w:pStyle w:val="4"/>
      </w:pPr>
      <w:r>
        <w:rPr>
          <w:rFonts w:hint="eastAsia"/>
        </w:rPr>
        <w:t>二、粮油供应体系逐步健全</w:t>
      </w:r>
    </w:p>
    <w:p>
      <w:pPr>
        <w:ind w:firstLine="560" w:firstLineChars="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目前，达州市已建立市、县两级成品粮油储备体系，全市成品粮油储备保障天数达到15天及以上。大力发展放心粮油店、超市、社区便利店为主要形式的城乡粮油供应网络，初步形成以保障中心为龙头，以配送中心为骨干、以大型超市、粮油经销店为基础的粮油供应网络体系。一是在全市已建立适时轮换的2500吨（其中大米2000吨，食用油300吨，面粉200吨）成品小包装粮油储备基础上，近期新增1100吨小包装成品粮油（大米1000吨，食用油100吨），增强了应对突发事件和重大自然灾害的能力。二是强化成品粮油管理。通过实行低温储存，分类储存管理成品粮油；建立管理台帐，把严粮油出入库质量关；建立适时自主轮换制度，确保成品粮油及时推陈储新等措施，加强小包装成品粮油监管，确保数量真实、质量可靠。三是市粮食局定期或不定期检查成品粮油存储情况，形成检查小包装成品粮油常态化，确保成品粮油库存数量真实、质量可靠、储存安全。</w:t>
      </w:r>
    </w:p>
    <w:p>
      <w:pPr>
        <w:pStyle w:val="4"/>
      </w:pPr>
      <w:r>
        <w:rPr>
          <w:rFonts w:hint="eastAsia"/>
        </w:rPr>
        <w:t>三、粮油应急供应网点全域覆盖</w:t>
      </w:r>
    </w:p>
    <w:p>
      <w:pPr>
        <w:pStyle w:val="5"/>
        <w:ind w:firstLine="640"/>
        <w:rPr>
          <w:rFonts w:ascii="黑体" w:hAnsi="黑体" w:eastAsia="黑体"/>
          <w:b w:val="0"/>
        </w:rPr>
      </w:pPr>
      <w:r>
        <w:rPr>
          <w:rFonts w:hint="eastAsia" w:ascii="黑体" w:hAnsi="黑体" w:eastAsia="黑体"/>
          <w:b w:val="0"/>
        </w:rPr>
        <w:t>图</w:t>
      </w:r>
      <w:r>
        <w:rPr>
          <w:rFonts w:ascii="黑体" w:hAnsi="黑体" w:eastAsia="黑体"/>
          <w:b w:val="0"/>
        </w:rPr>
        <w:t>1</w:t>
      </w:r>
      <w:r>
        <w:rPr>
          <w:rFonts w:hint="eastAsia" w:ascii="黑体" w:hAnsi="黑体" w:eastAsia="黑体"/>
          <w:b w:val="0"/>
        </w:rPr>
        <w:t>：2</w:t>
      </w:r>
      <w:r>
        <w:rPr>
          <w:rFonts w:ascii="黑体" w:hAnsi="黑体" w:eastAsia="黑体"/>
          <w:b w:val="0"/>
        </w:rPr>
        <w:t>022</w:t>
      </w:r>
      <w:r>
        <w:rPr>
          <w:rFonts w:hint="eastAsia" w:ascii="黑体" w:hAnsi="黑体" w:eastAsia="黑体"/>
          <w:b w:val="0"/>
        </w:rPr>
        <w:t>年达州各县市区粮油应急供应网点数量</w:t>
      </w:r>
    </w:p>
    <w:p>
      <w:pPr>
        <w:ind w:firstLine="0" w:firstLineChars="0"/>
        <w:jc w:val="center"/>
        <w:rPr>
          <w:b/>
          <w:bCs/>
          <w:color w:val="000000" w:themeColor="text1"/>
          <w:sz w:val="24"/>
          <w:szCs w:val="24"/>
          <w:highlight w:val="yellow"/>
          <w14:textFill>
            <w14:solidFill>
              <w14:schemeClr w14:val="tx1"/>
            </w14:solidFill>
          </w14:textFill>
        </w:rPr>
      </w:pPr>
      <w:r>
        <w:drawing>
          <wp:inline distT="0" distB="0" distL="0" distR="0">
            <wp:extent cx="5343525" cy="3419475"/>
            <wp:effectExtent l="0" t="0" r="9525"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为积极响应粮食安全战略要求，深化落实粮食流通领域各项改革，保障居民基本生活需求，达州市积极推动粮食产业发展建设，营造了良好的市场环境，粮食行业发展平稳向好，供应网点数量持续增加，全市粮食安全保障体系基本完备。十三五期间，以放心粮油工程建设为契机，积极发展集应急、军供、放心粮油为一体的粮油示范店，按全市行政区域划分，2018年全市已确认并登记入册粮油应急供应网点达315个；同时，坚持每周监测粮油市场行情，确保应急状态下的粮油供应及时有效。202</w:t>
      </w:r>
      <w:r>
        <w:rPr>
          <w:rFonts w:ascii="仿宋_GB2312"/>
          <w:color w:val="000000" w:themeColor="text1"/>
          <w14:textFill>
            <w14:solidFill>
              <w14:schemeClr w14:val="tx1"/>
            </w14:solidFill>
          </w14:textFill>
        </w:rPr>
        <w:t>2</w:t>
      </w:r>
      <w:r>
        <w:rPr>
          <w:rFonts w:hint="eastAsia" w:ascii="仿宋_GB2312"/>
          <w:color w:val="000000" w:themeColor="text1"/>
          <w14:textFill>
            <w14:solidFill>
              <w14:schemeClr w14:val="tx1"/>
            </w14:solidFill>
          </w14:textFill>
        </w:rPr>
        <w:t>年，全市建成“横向到边、纵向到底”粮油应急供应网点</w:t>
      </w:r>
      <w:r>
        <w:rPr>
          <w:rFonts w:ascii="仿宋_GB2312"/>
          <w:color w:val="000000" w:themeColor="text1"/>
          <w14:textFill>
            <w14:solidFill>
              <w14:schemeClr w14:val="tx1"/>
            </w14:solidFill>
          </w14:textFill>
        </w:rPr>
        <w:t>220</w:t>
      </w:r>
      <w:r>
        <w:rPr>
          <w:rFonts w:hint="eastAsia" w:ascii="仿宋_GB2312"/>
          <w:color w:val="000000" w:themeColor="text1"/>
          <w14:textFill>
            <w14:solidFill>
              <w14:schemeClr w14:val="tx1"/>
            </w14:solidFill>
          </w14:textFill>
        </w:rPr>
        <w:t>多个，由市、县粮食主管部门与应急网点签订粮油应急供应协议书，统一标牌，基本保障了粮食保供需求，基本实现了乡镇、社区应急供应网点全覆盖。</w:t>
      </w:r>
    </w:p>
    <w:p>
      <w:pPr>
        <w:pStyle w:val="3"/>
      </w:pPr>
      <w:bookmarkStart w:id="9" w:name="_Toc116564473"/>
      <w:r>
        <w:rPr>
          <w:rFonts w:hint="eastAsia"/>
        </w:rPr>
        <w:t>第二节 发展形势</w:t>
      </w:r>
      <w:bookmarkEnd w:id="9"/>
    </w:p>
    <w:p>
      <w:pPr>
        <w:pStyle w:val="4"/>
      </w:pPr>
      <w:r>
        <w:rPr>
          <w:rFonts w:hint="eastAsia"/>
        </w:rPr>
        <w:t>一、</w:t>
      </w:r>
      <w:bookmarkStart w:id="10" w:name="_Toc12797"/>
      <w:bookmarkStart w:id="11" w:name="_Toc15010"/>
      <w:r>
        <w:rPr>
          <w:rFonts w:hint="eastAsia"/>
        </w:rPr>
        <w:t>粮食产业强国建设提出新要求</w:t>
      </w:r>
      <w:bookmarkEnd w:id="10"/>
      <w:bookmarkEnd w:id="11"/>
    </w:p>
    <w:p>
      <w:pPr>
        <w:ind w:firstLine="643"/>
      </w:pPr>
      <w:r>
        <w:rPr>
          <w:rFonts w:hint="eastAsia" w:ascii="仿宋_GB2312"/>
          <w:b/>
          <w:color w:val="000000" w:themeColor="text1"/>
          <w14:textFill>
            <w14:solidFill>
              <w14:schemeClr w14:val="tx1"/>
            </w14:solidFill>
          </w14:textFill>
        </w:rPr>
        <w:t>国家层面。</w:t>
      </w:r>
      <w:r>
        <w:rPr>
          <w:rFonts w:hint="eastAsia" w:ascii="仿宋_GB2312"/>
          <w:color w:val="000000" w:themeColor="text1"/>
          <w14:textFill>
            <w14:solidFill>
              <w14:schemeClr w14:val="tx1"/>
            </w14:solidFill>
          </w14:textFill>
        </w:rPr>
        <w:t>十八大以来，我国确立并提出新粮食安全观和国家粮食安全战略，习近平总书记站在以人民为中心和总体国家安全观的高度反复强调粮食安全的重要性，作出一系列重要指示批示，为提高各类应急条件下的粮食供应保障能力指明了方向，为增强粮食安全保障能力提供了有力保障。遵照党中央、国务院领导同志的重要指示和重要批示精神，按照国务院办公厅《关于加快推进农业供给侧结构性改革大力发展粮食产业经济的意见》部署要求，“十四五”时期，我国将围绕持续推进粮食产业高质量发展、建设产业强国这“一个目标”，服务国家粮食安全和乡村振兴“两大战略”，突出产业链、价值链、供应链“三链协同”，建设优质粮食工程、示范市县、特色园区、骨干企业“四大载体”，深入推进产、购、储、加、销“五优联动”，这些都给我国粮食产业的高质量发展提出了新的要求。确保区域内粮食安全事关各地社会稳定大局。根据目前粮食安全的现状，在现有条件下，应把确保粮食安全供应、提高应急管理能力作为关键，立足当前，着眼长远，尽快建立和健全当地粮食供应网络，加强粮食应急供应能力建设，切实做好粮食安全保障工作。</w:t>
      </w:r>
    </w:p>
    <w:p>
      <w:pPr>
        <w:pStyle w:val="4"/>
      </w:pPr>
      <w:r>
        <w:rPr>
          <w:rFonts w:hint="eastAsia"/>
        </w:rPr>
        <w:t>二、四川省高度重视粮食供应保障</w:t>
      </w:r>
    </w:p>
    <w:p>
      <w:pPr>
        <w:ind w:firstLine="643"/>
        <w:rPr>
          <w:rFonts w:ascii="仿宋_GB2312"/>
          <w:color w:val="000000" w:themeColor="text1"/>
          <w14:textFill>
            <w14:solidFill>
              <w14:schemeClr w14:val="tx1"/>
            </w14:solidFill>
          </w14:textFill>
        </w:rPr>
      </w:pPr>
      <w:r>
        <w:rPr>
          <w:rFonts w:hint="eastAsia" w:ascii="仿宋_GB2312"/>
          <w:b/>
          <w:color w:val="000000" w:themeColor="text1"/>
          <w14:textFill>
            <w14:solidFill>
              <w14:schemeClr w14:val="tx1"/>
            </w14:solidFill>
          </w14:textFill>
        </w:rPr>
        <w:t>省级层面。</w:t>
      </w:r>
      <w:r>
        <w:rPr>
          <w:rFonts w:hint="eastAsia" w:ascii="仿宋_GB2312"/>
          <w:color w:val="000000" w:themeColor="text1"/>
          <w14:textFill>
            <w14:solidFill>
              <w14:schemeClr w14:val="tx1"/>
            </w14:solidFill>
          </w14:textFill>
        </w:rPr>
        <w:t>四川省高度重视粮食供应保障，将粮食安全考核纳入全省目标责任考核体系，压紧压实保障粮食安全政治责任，夯实各级政府保障辖区粮食安全的主体责任，形成了上下贯通、一体推动、保障区域粮食安全长效机制。自2021年5月1日《四川省粮食安全保障条例》实施以来，全省各地各部门将贯彻条例作为落实国家粮食安全战略的重要抓手，强化粮食安全责任制考核，不断加强粮食生产能力、储备能力、流通能力和应急能力建设，扎实推进粮食产业高质量发展和粮食安全保障体系建设，全省粮食安全保障水平明显提升。一方面，积极推动粮食产业高质量发展。加快建设现代农业“10+3”产业体系，推动川粮油产业全链融合发展。深入实施优质粮食工程，积极培育“天府菜油”等名特优粮油品牌。大力创建国家级、省级星级粮食园区，推广“四川造”玉米大豆带状复合种植技术，着力建设一批“鱼米之乡”示范县、优质稻生产示范县。2021年全省粮油产业实现综合产值3398亿元。另一方面，切实加强粮食储备管理。建立地方政府粮食储备制度，严格落实储备规模，全省地方粮食储备总规模399万吨，可保障全省3个月口粮供应。着力提高储备能力，全省粮食仓容1892万吨、罐容167万吨，省市县三级仓储设施体系基本建成。最后，确保粮食有序流通和应急保供。2021年全省收购粮食281万吨、油菜籽46万吨，销售粮食1582万吨、食用油288万吨。健全粮油应急体系，全省应急成品粮油规模24万吨，21个市(州)成品粮油应急储备全覆盖，183个县(市、区)原粮储备全落实。确定应急保障企业4819家，最大日供应能力6.56万吨、日运输能力3.2万吨。结合乡镇行政区划调整，优化应急网点布局，建成涵盖储存、配送和供应的粮油应急保供骨干网点3938个。</w:t>
      </w:r>
    </w:p>
    <w:p>
      <w:pPr>
        <w:pStyle w:val="4"/>
      </w:pPr>
      <w:r>
        <w:rPr>
          <w:rFonts w:hint="eastAsia"/>
        </w:rPr>
        <w:t>三、各类风险隐患交织叠加形势严峻</w:t>
      </w:r>
    </w:p>
    <w:p>
      <w:pPr>
        <w:ind w:firstLine="643"/>
      </w:pPr>
      <w:r>
        <w:rPr>
          <w:rFonts w:hint="eastAsia" w:ascii="仿宋_GB2312"/>
          <w:b/>
          <w:color w:val="000000" w:themeColor="text1"/>
          <w14:textFill>
            <w14:solidFill>
              <w14:schemeClr w14:val="tx1"/>
            </w14:solidFill>
          </w14:textFill>
        </w:rPr>
        <w:t>市级层面。</w:t>
      </w:r>
      <w:r>
        <w:rPr>
          <w:rFonts w:hint="eastAsia" w:ascii="仿宋_GB2312"/>
          <w:color w:val="000000" w:themeColor="text1"/>
          <w14:textFill>
            <w14:solidFill>
              <w14:schemeClr w14:val="tx1"/>
            </w14:solidFill>
          </w14:textFill>
        </w:rPr>
        <w:t>随着经济社会的快速发展，各类风险隐患交织叠加，特别是新冠肺炎疫情的持续蔓延和自然灾害频发，对人民群众的生命财产安全造成巨大威胁，暴露出应急物资储备诸多不足和短板。经过新一轮机构改革，粮食和物资储备部门的主要职能从单一的粮食流通行政管理转变为粮食流通和物资储备管理并重。棉、糖、能源以及应急物资储备管理和保障能力建设成为粮食和物资储备部门一项新的重要任务。达州市是自然灾害多发市，具有灾害种类多、分布地域广、发生频率高、灾害损失重的特点。当前，新冠肺炎疫情等突发性公共卫生事件防控形势依然严峻，突发事件的关联性、衍生性、复合性和非常规性不断增强，跨区域跨国际蔓延趋势日益明显。达州市人民政府印发《达州市粮食应急预案（试行）》，建立健全粮食应急响应机制，提高预警和应对能力，及时有效地应对和消除因重大自然灾害、重大公共卫生事件等突发公共事件或者其他原因引起的粮食市场供求异常波动，保障全市粮食市场基本稳定，维护正常的粮食流通秩序。因此，现阶段应不断夯粮食调控物质基础，在市县级储备规模内，建立一定数量的成品粮油储备，不断完善应急管理能力，保障粮食应急供应，增强应对突发事件冲击的粮食安全保障能力。</w:t>
      </w:r>
    </w:p>
    <w:p>
      <w:pPr>
        <w:pStyle w:val="3"/>
      </w:pPr>
      <w:bookmarkStart w:id="12" w:name="_Toc116564474"/>
      <w:r>
        <w:rPr>
          <w:rFonts w:hint="eastAsia"/>
        </w:rPr>
        <w:t>第三节 问题挑战</w:t>
      </w:r>
      <w:bookmarkEnd w:id="12"/>
    </w:p>
    <w:p>
      <w:pPr>
        <w:pStyle w:val="4"/>
      </w:pPr>
      <w:r>
        <w:rPr>
          <w:rFonts w:hint="eastAsia"/>
        </w:rPr>
        <w:t>一、粮油</w:t>
      </w:r>
      <w:r>
        <w:t>供应</w:t>
      </w:r>
      <w:r>
        <w:rPr>
          <w:rFonts w:hint="eastAsia"/>
        </w:rPr>
        <w:t>网点各层级的基础</w:t>
      </w:r>
      <w:r>
        <w:t>较</w:t>
      </w:r>
      <w:r>
        <w:rPr>
          <w:rFonts w:hint="eastAsia"/>
        </w:rPr>
        <w:t>为薄弱</w:t>
      </w:r>
    </w:p>
    <w:p>
      <w:pPr>
        <w:ind w:firstLine="64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达州市粮油供应体系的各层级基础较为薄弱，应急保障能力和实战水平急需提升。私营网点和个体粮油零售企业占领大部分市场份额，普遍存在建设标准较低、供应能力较弱，经营设施服务水平有待提高；在经营主体多元化的情况下，粮食供应协调难度大，如发生突发事件，极易产生供需脱节。</w:t>
      </w:r>
    </w:p>
    <w:p>
      <w:pPr>
        <w:pStyle w:val="4"/>
      </w:pPr>
      <w:r>
        <w:rPr>
          <w:rFonts w:hint="eastAsia"/>
        </w:rPr>
        <w:t>二、粮油供应网点经营主体动态更新较快</w:t>
      </w:r>
    </w:p>
    <w:p>
      <w:pPr>
        <w:ind w:firstLine="640"/>
        <w:rPr>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粮油经营的利润本就依靠销量而非价差，扩大销量是增收的唯一途径。然而在疫情的影响下，毫无征兆的停工停产对许多粮油自营商户造成了巨大的经济损失，部分粮油门店经营不善甚至倒闭，呈现粮油经营户逐年减少的趋势。在全产业新零售业时代的背景下，小型个体粮油经营店数量庞大，但经营的困难导致个体零售店几乎每半年就会进行一次重新洗牌。在粮油供应体系管理过程中，网点的动态更新监测及反馈机制即时生效力较弱，新粮油供应网点的纳入也需要一定的时间考察及增加。</w:t>
      </w:r>
    </w:p>
    <w:p>
      <w:pPr>
        <w:pStyle w:val="4"/>
      </w:pPr>
      <w:r>
        <w:rPr>
          <w:rFonts w:hint="eastAsia"/>
        </w:rPr>
        <w:t>三、粮油应急供应网点缺乏相关政策扶持</w:t>
      </w:r>
    </w:p>
    <w:p>
      <w:pPr>
        <w:ind w:firstLine="64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市、县（区）及有关开发区对粮油应急供应网点缺少实质性的扶持政策，资金奖励并未形成统一标准，难以有效支持引导粮油应急供应网点切实承担社会责任、调动其工作积极性。</w:t>
      </w:r>
    </w:p>
    <w:p>
      <w:pPr>
        <w:pStyle w:val="4"/>
      </w:pPr>
      <w:r>
        <w:rPr>
          <w:rFonts w:hint="eastAsia"/>
        </w:rPr>
        <w:t>四、粮油供应网点的数字化转型有待加快</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当前粮油供应网点销售配送主要依赖于传统销售方式。随着消费结构升级，消费者对粮油产品的需求逐步精细化、多元化，部分粮食企业缺乏现代化经营理念，粮油产品企业文化展示、粮食产品推广和营销渠道建设方面欠缺，网络化的粮食电商物流配送体系尚未建立完善，影响粮食产品的配送，难以实现物流信息的共建共享。</w:t>
      </w:r>
    </w:p>
    <w:p>
      <w:pPr>
        <w:pStyle w:val="2"/>
      </w:pPr>
      <w:bookmarkStart w:id="13" w:name="_Toc116564475"/>
      <w:bookmarkStart w:id="14" w:name="_Hlk105748064"/>
      <w:r>
        <w:rPr>
          <w:rFonts w:hint="eastAsia"/>
        </w:rPr>
        <w:t xml:space="preserve">第二章 </w:t>
      </w:r>
      <w:r>
        <w:t xml:space="preserve"> </w:t>
      </w:r>
      <w:r>
        <w:rPr>
          <w:rFonts w:hint="eastAsia"/>
        </w:rPr>
        <w:t>总体要求</w:t>
      </w:r>
      <w:bookmarkEnd w:id="13"/>
    </w:p>
    <w:bookmarkEnd w:id="14"/>
    <w:p>
      <w:pPr>
        <w:pStyle w:val="3"/>
      </w:pPr>
      <w:bookmarkStart w:id="15" w:name="_Toc116564476"/>
      <w:r>
        <w:rPr>
          <w:rFonts w:hint="eastAsia"/>
        </w:rPr>
        <w:t>第一节 指导思想</w:t>
      </w:r>
      <w:bookmarkEnd w:id="15"/>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以习近平新时代中国特色社会主义思想为指导，全面贯彻落实党的十九大和十九届二中、三中、四中、五中全会精神，认真落实国家粮食安全战略，确保在紧急状态下“吃粮买得到”的粮食供应底线，坚持以“耕地保护、惠农兴农、粮油储备”为着力点，按照“合理布点、全面覆盖、平时自营、急时应急”的原则，构建市场化体制下布局合理、设施完备、上下联动、快速响应、运转高效、保障有力的粮油应急供应网点体系，坚决扛稳粮食安全重大政治责任，全力巩固提升粮食安全保障水平。</w:t>
      </w:r>
    </w:p>
    <w:p>
      <w:pPr>
        <w:pStyle w:val="3"/>
      </w:pPr>
      <w:bookmarkStart w:id="16" w:name="_Toc116564477"/>
      <w:r>
        <w:rPr>
          <w:rFonts w:hint="eastAsia"/>
        </w:rPr>
        <w:t>第二节 基本原则</w:t>
      </w:r>
      <w:bookmarkEnd w:id="16"/>
    </w:p>
    <w:p>
      <w:pPr>
        <w:ind w:firstLine="643"/>
        <w:rPr>
          <w:color w:val="000000" w:themeColor="text1"/>
          <w14:textFill>
            <w14:solidFill>
              <w14:schemeClr w14:val="tx1"/>
            </w14:solidFill>
          </w14:textFill>
        </w:rPr>
      </w:pPr>
      <w:r>
        <w:rPr>
          <w:rFonts w:hint="eastAsia"/>
          <w:b/>
          <w:bCs/>
          <w:color w:val="000000" w:themeColor="text1"/>
          <w:szCs w:val="32"/>
          <w14:textFill>
            <w14:solidFill>
              <w14:schemeClr w14:val="tx1"/>
            </w14:solidFill>
          </w14:textFill>
        </w:rPr>
        <w:t>——统筹规划，合理布局。</w:t>
      </w:r>
      <w:r>
        <w:rPr>
          <w:rFonts w:hint="eastAsia"/>
          <w:bCs/>
          <w:color w:val="000000" w:themeColor="text1"/>
          <w:szCs w:val="32"/>
          <w14:textFill>
            <w14:solidFill>
              <w14:schemeClr w14:val="tx1"/>
            </w14:solidFill>
          </w14:textFill>
        </w:rPr>
        <w:t>充分整合现有资源</w:t>
      </w:r>
      <w:r>
        <w:rPr>
          <w:rFonts w:hint="eastAsia"/>
          <w:color w:val="000000" w:themeColor="text1"/>
          <w14:textFill>
            <w14:solidFill>
              <w14:schemeClr w14:val="tx1"/>
            </w14:solidFill>
          </w14:textFill>
        </w:rPr>
        <w:t>，按照粮食应急网点合理布点、城乡全面覆盖的要求，以市、县（区）为中心，合理认定应急供应网点，并与应急加工、储运、配送等有效衔接，做到功能互补、结构合理，引导不同层级的粮油应急供应网点合理布局。</w:t>
      </w:r>
    </w:p>
    <w:p>
      <w:pPr>
        <w:ind w:firstLine="643"/>
        <w:rPr>
          <w:color w:val="000000" w:themeColor="text1"/>
          <w14:textFill>
            <w14:solidFill>
              <w14:schemeClr w14:val="tx1"/>
            </w14:solidFill>
          </w14:textFill>
        </w:rPr>
      </w:pPr>
      <w:r>
        <w:rPr>
          <w:rFonts w:hint="eastAsia"/>
          <w:b/>
          <w:bCs/>
          <w:color w:val="000000" w:themeColor="text1"/>
          <w:szCs w:val="32"/>
          <w14:textFill>
            <w14:solidFill>
              <w14:schemeClr w14:val="tx1"/>
            </w14:solidFill>
          </w14:textFill>
        </w:rPr>
        <w:t>——政府引导，社会参与。</w:t>
      </w:r>
      <w:r>
        <w:rPr>
          <w:rFonts w:hint="eastAsia" w:ascii="仿宋" w:hAnsi="仿宋"/>
          <w:color w:val="000000" w:themeColor="text1"/>
          <w14:textFill>
            <w14:solidFill>
              <w14:schemeClr w14:val="tx1"/>
            </w14:solidFill>
          </w14:textFill>
        </w:rPr>
        <w:t>由政府推动，加大政策资金扶持力度，引导、鼓励和支持企业积极参与，推动应急供应服务由“政府供给”向“合作供给”发展，充分调动多方面积极性，不断提升粮食应急保供体系建设和保供能力水平。</w:t>
      </w:r>
    </w:p>
    <w:p>
      <w:pPr>
        <w:ind w:firstLine="643"/>
        <w:rPr>
          <w:color w:val="000000" w:themeColor="text1"/>
          <w:shd w:val="clear" w:color="auto" w:fill="FFFFFF"/>
          <w14:textFill>
            <w14:solidFill>
              <w14:schemeClr w14:val="tx1"/>
            </w14:solidFill>
          </w14:textFill>
        </w:rPr>
      </w:pPr>
      <w:r>
        <w:rPr>
          <w:rFonts w:hint="eastAsia"/>
          <w:b/>
          <w:bCs/>
          <w:color w:val="000000" w:themeColor="text1"/>
          <w:szCs w:val="32"/>
          <w14:textFill>
            <w14:solidFill>
              <w14:schemeClr w14:val="tx1"/>
            </w14:solidFill>
          </w14:textFill>
        </w:rPr>
        <w:t>——明确责任</w:t>
      </w:r>
      <w:r>
        <w:rPr>
          <w:b/>
          <w:bCs/>
          <w:color w:val="000000" w:themeColor="text1"/>
          <w:szCs w:val="32"/>
          <w14:textFill>
            <w14:solidFill>
              <w14:schemeClr w14:val="tx1"/>
            </w14:solidFill>
          </w14:textFill>
        </w:rPr>
        <w:t>，</w:t>
      </w:r>
      <w:r>
        <w:rPr>
          <w:rFonts w:hint="eastAsia"/>
          <w:b/>
          <w:bCs/>
          <w:color w:val="000000" w:themeColor="text1"/>
          <w:szCs w:val="32"/>
          <w14:textFill>
            <w14:solidFill>
              <w14:schemeClr w14:val="tx1"/>
            </w14:solidFill>
          </w14:textFill>
        </w:rPr>
        <w:t>及时响应。</w:t>
      </w:r>
      <w:r>
        <w:rPr>
          <w:rFonts w:hint="eastAsia"/>
          <w:color w:val="000000" w:themeColor="text1"/>
          <w:shd w:val="clear" w:color="auto" w:fill="FFFFFF"/>
          <w14:textFill>
            <w14:solidFill>
              <w14:schemeClr w14:val="tx1"/>
            </w14:solidFill>
          </w14:textFill>
        </w:rPr>
        <w:t>各级粮食行政管理部门要按照粮食应急分级负责的要求，与区域内的应急网点签订协议书，明确权利、责任和义务。粮油应急供应网点在应急预案启动后，服从有关部门统一安排和调度，履行承诺，切实做好粮食应急供应工作，确保各项应急供应措施得到有效落实。</w:t>
      </w:r>
    </w:p>
    <w:p>
      <w:pPr>
        <w:ind w:firstLine="643"/>
        <w:rPr>
          <w:color w:val="000000" w:themeColor="text1"/>
          <w:shd w:val="clear" w:color="auto" w:fill="FFFFFF"/>
          <w14:textFill>
            <w14:solidFill>
              <w14:schemeClr w14:val="tx1"/>
            </w14:solidFill>
          </w14:textFill>
        </w:rPr>
      </w:pPr>
      <w:r>
        <w:rPr>
          <w:rFonts w:hint="eastAsia"/>
          <w:b/>
          <w:bCs/>
          <w:color w:val="000000" w:themeColor="text1"/>
          <w:szCs w:val="32"/>
          <w14:textFill>
            <w14:solidFill>
              <w14:schemeClr w14:val="tx1"/>
            </w14:solidFill>
          </w14:textFill>
        </w:rPr>
        <w:t>——规范管理，动态评估。</w:t>
      </w:r>
      <w:r>
        <w:rPr>
          <w:rFonts w:hint="eastAsia"/>
          <w:color w:val="000000" w:themeColor="text1"/>
          <w:shd w:val="clear" w:color="auto" w:fill="FFFFFF"/>
          <w14:textFill>
            <w14:solidFill>
              <w14:schemeClr w14:val="tx1"/>
            </w14:solidFill>
          </w14:textFill>
        </w:rPr>
        <w:t>加强对粮油应急供应网点的管理，规范经营行为，建立应急供应网点的考核和动态调整机制，确保其有效正常运转。统筹已有网点资源，在非应急时期，按照市场化运作，实行自主经营、自负盈亏。</w:t>
      </w:r>
    </w:p>
    <w:p>
      <w:pPr>
        <w:pStyle w:val="3"/>
      </w:pPr>
      <w:bookmarkStart w:id="17" w:name="_Toc116564478"/>
      <w:r>
        <w:rPr>
          <w:rFonts w:hint="eastAsia"/>
        </w:rPr>
        <w:t>第三节 发展目标</w:t>
      </w:r>
      <w:bookmarkEnd w:id="17"/>
    </w:p>
    <w:p>
      <w:pPr>
        <w:ind w:firstLine="640"/>
        <w:rPr>
          <w:rFonts w:ascii="仿宋_GB2312"/>
          <w:color w:val="000000" w:themeColor="text1"/>
          <w14:textFill>
            <w14:solidFill>
              <w14:schemeClr w14:val="tx1"/>
            </w14:solidFill>
          </w14:textFill>
        </w:rPr>
      </w:pPr>
      <w:r>
        <w:rPr>
          <w:rFonts w:hint="eastAsia" w:ascii="仿宋_GB2312"/>
          <w:szCs w:val="32"/>
        </w:rPr>
        <w:t>到2025年</w:t>
      </w:r>
      <w:r>
        <w:rPr>
          <w:rFonts w:hint="eastAsia" w:ascii="仿宋_GB2312" w:hAnsi="方正仿宋_GBK" w:cs="方正仿宋_GBK"/>
          <w:szCs w:val="32"/>
        </w:rPr>
        <w:t>，在全市选定和建设</w:t>
      </w:r>
      <w:r>
        <w:rPr>
          <w:rFonts w:ascii="仿宋_GB2312" w:hAnsi="方正仿宋_GBK" w:cs="方正仿宋_GBK"/>
          <w:szCs w:val="32"/>
        </w:rPr>
        <w:t>220</w:t>
      </w:r>
      <w:r>
        <w:rPr>
          <w:rFonts w:hint="eastAsia" w:ascii="仿宋_GB2312" w:hAnsi="方正仿宋_GBK" w:cs="方正仿宋_GBK"/>
          <w:szCs w:val="32"/>
        </w:rPr>
        <w:t>个粮油应急供应网点，构建“布局合理、设施完善、运转高效、保障有力”的粮油安全应急供应保障体系。</w:t>
      </w:r>
      <w:r>
        <w:rPr>
          <w:rFonts w:hint="eastAsia" w:ascii="仿宋_GB2312"/>
          <w:color w:val="000000" w:themeColor="text1"/>
          <w14:textFill>
            <w14:solidFill>
              <w14:schemeClr w14:val="tx1"/>
            </w14:solidFill>
          </w14:textFill>
        </w:rPr>
        <w:t>根据居住用地及住房新增区域，以城市一刻钟便民生活圈为指导，通过科学布局粮油供应网点，不断完善“打通应急粮油供应最后一公里”理念，实现粮食流通现代化水平稳步提高，提高粮食应急供应能力；形成统一指挥、专常兼备、反应灵敏、上下联动的应急管理体制；建成权责清晰、权威高效的应急供应网点体系、牢牢守住粮食安全底线；努力把达州建成全省重要粮油供应中心和节点，推进区县粮油配送中心和供应网点建设，优化粮油供应布局，形成立足全市，辐射周边地市的粮油供应保障体系。</w:t>
      </w:r>
    </w:p>
    <w:p>
      <w:pPr>
        <w:pStyle w:val="2"/>
      </w:pPr>
      <w:bookmarkStart w:id="18" w:name="_Toc116564479"/>
      <w:r>
        <w:rPr>
          <w:rFonts w:hint="eastAsia"/>
        </w:rPr>
        <w:t xml:space="preserve">第三章 </w:t>
      </w:r>
      <w:r>
        <w:t xml:space="preserve"> </w:t>
      </w:r>
      <w:r>
        <w:rPr>
          <w:rFonts w:hint="eastAsia"/>
        </w:rPr>
        <w:t>主要任务</w:t>
      </w:r>
      <w:bookmarkEnd w:id="18"/>
    </w:p>
    <w:p>
      <w:pPr>
        <w:pStyle w:val="3"/>
      </w:pPr>
      <w:bookmarkStart w:id="19" w:name="_Toc116564480"/>
      <w:r>
        <w:rPr>
          <w:rFonts w:hint="eastAsia"/>
        </w:rPr>
        <w:t>第一节 夯实粮油供应物质基础</w:t>
      </w:r>
      <w:bookmarkEnd w:id="19"/>
    </w:p>
    <w:p>
      <w:pPr>
        <w:pStyle w:val="4"/>
      </w:pPr>
      <w:r>
        <w:rPr>
          <w:rFonts w:hint="eastAsia"/>
        </w:rPr>
        <w:t>一、稳步提升粮油生产保障能力</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压实耕地保护主体责任，牢牢把握粮食安全主动权。严守耕地保护红线，全面落实永久基本农田特殊保护制度，坚决遏制耕地“非农化”、防止“非粮化”。对现有永久基本农田进行优进劣出，实行特殊保护。深入实施“藏粮于地、藏粮于技”战略，加快高标准农田建设。推动粮食规模化经营，提高种植现代化水平。</w:t>
      </w:r>
    </w:p>
    <w:p>
      <w:pPr>
        <w:pStyle w:val="4"/>
      </w:pPr>
      <w:r>
        <w:rPr>
          <w:rFonts w:hint="eastAsia"/>
        </w:rPr>
        <w:t>二、建立规模适度的成品粮油储备</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按照统筹规划，合理布局的要求，不断加强市、县两级成品粮油储备体系建设。严格落实稻谷、小麦最低收购价政策，发挥政策性收购“守底线、稳预期”作用，切实保护农民利益和种粮积极性，防止农民“卖粮难”。加强政策性收购和市场化收购协同联动，推动产销区建立紧密的利益联结机制，适时完善粮食购销补贴机制。适时开展成品粮油储备轮换工作，发挥成品粮油储备吞吐调节作用，</w:t>
      </w:r>
      <w:r>
        <w:rPr>
          <w:color w:val="000000" w:themeColor="text1"/>
          <w14:textFill>
            <w14:solidFill>
              <w14:schemeClr w14:val="tx1"/>
            </w14:solidFill>
          </w14:textFill>
        </w:rPr>
        <w:t>夯实我市粮</w:t>
      </w:r>
      <w:r>
        <w:rPr>
          <w:rFonts w:hint="eastAsia"/>
          <w:color w:val="000000" w:themeColor="text1"/>
          <w14:textFill>
            <w14:solidFill>
              <w14:schemeClr w14:val="tx1"/>
            </w14:solidFill>
          </w14:textFill>
        </w:rPr>
        <w:t>油</w:t>
      </w:r>
      <w:r>
        <w:rPr>
          <w:color w:val="000000" w:themeColor="text1"/>
          <w14:textFill>
            <w14:solidFill>
              <w14:schemeClr w14:val="tx1"/>
            </w14:solidFill>
          </w14:textFill>
        </w:rPr>
        <w:t>供应</w:t>
      </w:r>
      <w:r>
        <w:rPr>
          <w:rFonts w:hint="eastAsia"/>
          <w:color w:val="000000" w:themeColor="text1"/>
          <w14:textFill>
            <w14:solidFill>
              <w14:schemeClr w14:val="tx1"/>
            </w14:solidFill>
          </w14:textFill>
        </w:rPr>
        <w:t>物质</w:t>
      </w:r>
      <w:r>
        <w:rPr>
          <w:color w:val="000000" w:themeColor="text1"/>
          <w14:textFill>
            <w14:solidFill>
              <w14:schemeClr w14:val="tx1"/>
            </w14:solidFill>
          </w14:textFill>
        </w:rPr>
        <w:t>基础</w:t>
      </w:r>
      <w:r>
        <w:rPr>
          <w:rFonts w:hint="eastAsia"/>
          <w:color w:val="000000" w:themeColor="text1"/>
          <w14:textFill>
            <w14:solidFill>
              <w14:schemeClr w14:val="tx1"/>
            </w14:solidFill>
          </w14:textFill>
        </w:rPr>
        <w:t>。</w:t>
      </w:r>
    </w:p>
    <w:p>
      <w:pPr>
        <w:pStyle w:val="4"/>
      </w:pPr>
      <w:r>
        <w:rPr>
          <w:rFonts w:hint="eastAsia"/>
        </w:rPr>
        <w:t>三、推动粮油产业高质量发展</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抢抓成渝地区双城经济圈和万达开川渝统筹发展示范区建设机遇，深入谋划达州粮食行业“十四五”发展规划。推进低温粮库、智能粮库提升改造，继续推进仓储能力提升示范行动。加强粮食质检体系建设，提升基层粮食质量安全检验检测能力，确保储粮安全和食品安全。抓好五优联动，推进绿色优质粮食产业体系建设，督促粮油产业高质量发展项目实施。</w:t>
      </w:r>
    </w:p>
    <w:p>
      <w:pPr>
        <w:ind w:firstLine="640"/>
        <w:rPr>
          <w:color w:val="000000" w:themeColor="text1"/>
          <w14:textFill>
            <w14:solidFill>
              <w14:schemeClr w14:val="tx1"/>
            </w14:solidFill>
          </w14:textFill>
        </w:rPr>
      </w:pPr>
    </w:p>
    <w:p>
      <w:pPr>
        <w:pStyle w:val="4"/>
        <w:rPr>
          <w:rFonts w:hAnsi="宋体" w:cs="宋体"/>
        </w:rPr>
      </w:pPr>
      <w:r>
        <w:rPr>
          <w:rFonts w:hint="eastAsia"/>
        </w:rPr>
        <w:t>专栏1</w:t>
      </w:r>
      <w:r>
        <w:t xml:space="preserve">  </w:t>
      </w:r>
      <w:r>
        <w:rPr>
          <w:rFonts w:hint="eastAsia"/>
        </w:rPr>
        <w:t>粮油产业发展重点工程</w:t>
      </w:r>
    </w:p>
    <w:tbl>
      <w:tblPr>
        <w:tblStyle w:val="11"/>
        <w:tblW w:w="8356" w:type="dxa"/>
        <w:tblInd w:w="0" w:type="dxa"/>
        <w:tblLayout w:type="autofit"/>
        <w:tblCellMar>
          <w:top w:w="15" w:type="dxa"/>
          <w:left w:w="15" w:type="dxa"/>
          <w:bottom w:w="15" w:type="dxa"/>
          <w:right w:w="15" w:type="dxa"/>
        </w:tblCellMar>
      </w:tblPr>
      <w:tblGrid>
        <w:gridCol w:w="8356"/>
      </w:tblGrid>
      <w:tr>
        <w:tblPrEx>
          <w:tblCellMar>
            <w:top w:w="15" w:type="dxa"/>
            <w:left w:w="15" w:type="dxa"/>
            <w:bottom w:w="15" w:type="dxa"/>
            <w:right w:w="15" w:type="dxa"/>
          </w:tblCellMar>
        </w:tblPrEx>
        <w:trPr>
          <w:trHeight w:val="978" w:hRule="atLeast"/>
        </w:trPr>
        <w:tc>
          <w:tcPr>
            <w:tcW w:w="835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276" w:lineRule="auto"/>
              <w:ind w:firstLine="562"/>
              <w:jc w:val="left"/>
              <w:rPr>
                <w:rFonts w:ascii="仿宋_GB2312" w:hAnsi="宋体" w:cs="宋体"/>
                <w:kern w:val="0"/>
                <w:sz w:val="28"/>
                <w:szCs w:val="24"/>
              </w:rPr>
            </w:pPr>
            <w:r>
              <w:rPr>
                <w:rFonts w:hint="eastAsia" w:ascii="仿宋_GB2312" w:hAnsi="宋体" w:cs="宋体"/>
                <w:b/>
                <w:kern w:val="0"/>
                <w:sz w:val="28"/>
                <w:szCs w:val="24"/>
              </w:rPr>
              <w:t>建设优质粮油基地。</w:t>
            </w:r>
            <w:r>
              <w:rPr>
                <w:rFonts w:hint="eastAsia" w:ascii="仿宋_GB2312" w:hAnsi="宋体" w:cs="宋体"/>
                <w:kern w:val="0"/>
                <w:sz w:val="28"/>
                <w:szCs w:val="24"/>
              </w:rPr>
              <w:t>紧抓国家优质粮油保障基地建设机遇，实施优质粮油基地提升和建设工程。以7个优质稻基地县为重点，到2025年建成“稻香杯”优质米基地面积达120万亩。以6个产油大县为重点，到2025年建成“双低”油菜基地60万亩，建立“天府菜油”稳定订单原料基地30万亩。支持万源市、开江县共建富硒水稻—油菜高产轮作示范基地，支持万源市建设高山富硒马铃薯高产示范基地，支持宣汉县建设青贮饲料玉米示范基地。</w:t>
            </w:r>
          </w:p>
          <w:p>
            <w:pPr>
              <w:widowControl/>
              <w:spacing w:line="276" w:lineRule="auto"/>
              <w:ind w:firstLine="562"/>
              <w:jc w:val="left"/>
              <w:rPr>
                <w:rFonts w:ascii="仿宋_GB2312" w:hAnsi="宋体" w:cs="宋体"/>
                <w:kern w:val="0"/>
                <w:sz w:val="28"/>
                <w:szCs w:val="24"/>
              </w:rPr>
            </w:pPr>
            <w:r>
              <w:rPr>
                <w:rFonts w:hint="eastAsia" w:ascii="仿宋_GB2312" w:hAnsi="宋体" w:cs="宋体"/>
                <w:b/>
                <w:kern w:val="0"/>
                <w:sz w:val="28"/>
                <w:szCs w:val="24"/>
              </w:rPr>
              <w:t>创建绿色高质高效示范区。</w:t>
            </w:r>
            <w:r>
              <w:rPr>
                <w:rFonts w:hint="eastAsia" w:ascii="仿宋_GB2312" w:hAnsi="宋体" w:cs="宋体"/>
                <w:kern w:val="0"/>
                <w:sz w:val="28"/>
                <w:szCs w:val="24"/>
              </w:rPr>
              <w:t>聚焦水稻、玉米、油菜等优势粮油产业，以现代农业园区为重点，大力推广绿色高效技术，推进宣汉县“玉—豆—芋”轮作休耕籽粒玉米示范基地、渠县稻渔综合种养示范基地和稻油轮作示范基地等粮油高质高效示范区建设。到2025年建成省级“鱼米之乡”试点示范县2个。</w:t>
            </w:r>
          </w:p>
        </w:tc>
      </w:tr>
    </w:tbl>
    <w:p>
      <w:pPr>
        <w:ind w:firstLine="640"/>
        <w:rPr>
          <w:color w:val="000000" w:themeColor="text1"/>
          <w14:textFill>
            <w14:solidFill>
              <w14:schemeClr w14:val="tx1"/>
            </w14:solidFill>
          </w14:textFill>
        </w:rPr>
      </w:pPr>
    </w:p>
    <w:p>
      <w:pPr>
        <w:pStyle w:val="3"/>
      </w:pPr>
      <w:bookmarkStart w:id="20" w:name="_Toc116564481"/>
      <w:r>
        <w:rPr>
          <w:rFonts w:hint="eastAsia"/>
        </w:rPr>
        <w:t>第二节 提升粮油应急保障能力</w:t>
      </w:r>
      <w:bookmarkEnd w:id="20"/>
    </w:p>
    <w:p>
      <w:pPr>
        <w:pStyle w:val="4"/>
      </w:pPr>
      <w:r>
        <w:rPr>
          <w:rFonts w:hint="eastAsia"/>
        </w:rPr>
        <w:t>一、提升粮油应急指挥调度能力</w:t>
      </w:r>
    </w:p>
    <w:p>
      <w:pPr>
        <w:ind w:firstLine="640"/>
        <w:rPr>
          <w:color w:val="000000" w:themeColor="text1"/>
          <w14:textFill>
            <w14:solidFill>
              <w14:schemeClr w14:val="tx1"/>
            </w14:solidFill>
          </w14:textFill>
        </w:rPr>
      </w:pPr>
      <w:r>
        <w:rPr>
          <w:rFonts w:hint="eastAsia"/>
          <w:color w:val="000000" w:themeColor="text1"/>
          <w:lang w:val="zh-TW"/>
          <w14:textFill>
            <w14:solidFill>
              <w14:schemeClr w14:val="tx1"/>
            </w14:solidFill>
          </w14:textFill>
        </w:rPr>
        <w:t>加快建设统一的粮食和物资储备应急指挥中心，完善粮食应急保障信息系统，实现各级管理平台、企业平台、粮库系统互联互通、“一张网”运行，提升应急保障效能。</w:t>
      </w:r>
      <w:r>
        <w:rPr>
          <w:rFonts w:hint="eastAsia"/>
          <w:color w:val="000000" w:themeColor="text1"/>
          <w14:textFill>
            <w14:solidFill>
              <w14:schemeClr w14:val="tx1"/>
            </w14:solidFill>
          </w14:textFill>
        </w:rPr>
        <w:t>加速推动</w:t>
      </w:r>
      <w:r>
        <w:rPr>
          <w:rFonts w:hint="eastAsia"/>
          <w:color w:val="000000" w:themeColor="text1"/>
          <w:lang w:val="zh-TW"/>
          <w14:textFill>
            <w14:solidFill>
              <w14:schemeClr w14:val="tx1"/>
            </w14:solidFill>
          </w14:textFill>
        </w:rPr>
        <w:t>大数据、人工智能、云计算等新技术与粮食应急保障体系深度融合，</w:t>
      </w:r>
      <w:r>
        <w:rPr>
          <w:rFonts w:hint="eastAsia"/>
          <w:color w:val="000000" w:themeColor="text1"/>
          <w14:textFill>
            <w14:solidFill>
              <w14:schemeClr w14:val="tx1"/>
            </w14:solidFill>
          </w14:textFill>
        </w:rPr>
        <w:t>提升粮食应急保障信息化、智能化水平</w:t>
      </w:r>
      <w:r>
        <w:rPr>
          <w:rFonts w:hint="eastAsia"/>
          <w:color w:val="000000" w:themeColor="text1"/>
          <w:lang w:val="zh-TW"/>
          <w14:textFill>
            <w14:solidFill>
              <w14:schemeClr w14:val="tx1"/>
            </w14:solidFill>
          </w14:textFill>
        </w:rPr>
        <w:t>。积极融入地方应急资源管理平台，发挥综合应急调度作用，在应急状态下实现粮食和重要物资统一调度、重大信息统一发布、关键指令实时下达、多级组织协同联动、发展趋势科学预判。</w:t>
      </w:r>
    </w:p>
    <w:p>
      <w:pPr>
        <w:pStyle w:val="4"/>
      </w:pPr>
      <w:r>
        <w:rPr>
          <w:rFonts w:hint="eastAsia"/>
        </w:rPr>
        <w:t>二、提升</w:t>
      </w:r>
      <w:r>
        <w:t>粮</w:t>
      </w:r>
      <w:r>
        <w:rPr>
          <w:rFonts w:hint="eastAsia"/>
        </w:rPr>
        <w:t>油</w:t>
      </w:r>
      <w:r>
        <w:t>应急企业管理</w:t>
      </w:r>
      <w:r>
        <w:rPr>
          <w:rFonts w:hint="eastAsia"/>
        </w:rPr>
        <w:t>能力</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县级粮食和储备行政主管部门</w:t>
      </w:r>
      <w:r>
        <w:rPr>
          <w:rFonts w:hint="eastAsia" w:ascii="仿宋_GB2312" w:hAnsi="仿宋"/>
          <w:color w:val="000000"/>
          <w:szCs w:val="32"/>
          <w:shd w:val="clear" w:color="auto" w:fill="FFFFFF"/>
        </w:rPr>
        <w:t>对已选定的粮食应急加工企业和供应网点要加强监管，建立粮食应急企业档案，签订《责任协议书》，分级统一颁发“粮油应急供应网点”牌匾，建立优进劣退动态管理模式，原则上一年一审核、三年一认定。</w:t>
      </w:r>
      <w:r>
        <w:rPr>
          <w:color w:val="000000" w:themeColor="text1"/>
          <w14:textFill>
            <w14:solidFill>
              <w14:schemeClr w14:val="tx1"/>
            </w14:solidFill>
          </w14:textFill>
        </w:rPr>
        <w:t>粮食应急预案启动后，指定的应急加工和供应企业必须服从统一安排和调度，保证应急粮食的加工和供应。</w:t>
      </w:r>
    </w:p>
    <w:p>
      <w:pPr>
        <w:pStyle w:val="4"/>
      </w:pPr>
      <w:r>
        <w:rPr>
          <w:rFonts w:hint="eastAsia"/>
        </w:rPr>
        <w:t>三、整合提升成品粮油仓储能力</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建立适度规模的成品粮储备，提高小包装成品粮油储备比例，县（市、区）人民政府所在地城区和价格易波动地区的成品粮油储备要达到10～15天市场供应量。其他地区统筹区域粮食安全、调控应急需要、人口规模、经济发展等情况，保有一定天数市场供应量的成品粮油储备库存。加大对重点粮食流通基础设施建设的投资支持力度，创新投融资方式，引导社会资本积极参与。重建、新建或改建一定规模的成品粮油储备库，配备加热隔热、防潮、调温等设施设备，推广应用低温储存技术，满足成品粮油储备需要。</w:t>
      </w:r>
    </w:p>
    <w:p>
      <w:pPr>
        <w:ind w:firstLine="640"/>
        <w:rPr>
          <w:color w:val="000000" w:themeColor="text1"/>
          <w14:textFill>
            <w14:solidFill>
              <w14:schemeClr w14:val="tx1"/>
            </w14:solidFill>
          </w14:textFill>
        </w:rPr>
      </w:pPr>
    </w:p>
    <w:p>
      <w:pPr>
        <w:pStyle w:val="4"/>
        <w:rPr>
          <w:rFonts w:hAnsi="宋体" w:cs="宋体"/>
        </w:rPr>
      </w:pPr>
      <w:r>
        <w:rPr>
          <w:rFonts w:hint="eastAsia"/>
        </w:rPr>
        <w:t>专栏</w:t>
      </w:r>
      <w:r>
        <w:t xml:space="preserve">2  </w:t>
      </w:r>
      <w:r>
        <w:rPr>
          <w:rFonts w:hint="eastAsia"/>
        </w:rPr>
        <w:t>应急保障建设重点工程</w:t>
      </w:r>
    </w:p>
    <w:tbl>
      <w:tblPr>
        <w:tblStyle w:val="11"/>
        <w:tblW w:w="8250" w:type="dxa"/>
        <w:tblInd w:w="0" w:type="dxa"/>
        <w:tblLayout w:type="autofit"/>
        <w:tblCellMar>
          <w:top w:w="15" w:type="dxa"/>
          <w:left w:w="15" w:type="dxa"/>
          <w:bottom w:w="15" w:type="dxa"/>
          <w:right w:w="15" w:type="dxa"/>
        </w:tblCellMar>
      </w:tblPr>
      <w:tblGrid>
        <w:gridCol w:w="8250"/>
      </w:tblGrid>
      <w:tr>
        <w:tblPrEx>
          <w:tblCellMar>
            <w:top w:w="15" w:type="dxa"/>
            <w:left w:w="15" w:type="dxa"/>
            <w:bottom w:w="15" w:type="dxa"/>
            <w:right w:w="15" w:type="dxa"/>
          </w:tblCellMar>
        </w:tblPrEx>
        <w:trPr>
          <w:trHeight w:val="978" w:hRule="atLeast"/>
        </w:trPr>
        <w:tc>
          <w:tcPr>
            <w:tcW w:w="82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276" w:lineRule="auto"/>
              <w:ind w:firstLine="562"/>
              <w:rPr>
                <w:rFonts w:ascii="仿宋_GB2312" w:hAnsi="宋体" w:cs="宋体"/>
                <w:kern w:val="0"/>
                <w:sz w:val="28"/>
                <w:szCs w:val="24"/>
              </w:rPr>
            </w:pPr>
            <w:r>
              <w:rPr>
                <w:rFonts w:hint="eastAsia" w:ascii="仿宋_GB2312" w:hAnsi="宋体" w:cs="宋体"/>
                <w:b/>
                <w:kern w:val="0"/>
                <w:sz w:val="28"/>
                <w:szCs w:val="24"/>
              </w:rPr>
              <w:t>建设应急物资储备库。</w:t>
            </w:r>
            <w:r>
              <w:rPr>
                <w:rFonts w:hint="eastAsia" w:ascii="仿宋_GB2312" w:hAnsi="宋体" w:cs="宋体"/>
                <w:kern w:val="0"/>
                <w:sz w:val="28"/>
                <w:szCs w:val="24"/>
              </w:rPr>
              <w:t>整合现有资源和基础设施条件，新建通川、达川、达州高新区3个应急物资储备仓库，升级改造达州市及万源市、宣汉县、大竹县、渠县、开江县等6个应急物资储备仓库，配备完善现代作业设施设备，提升工作效能。配备存放、装卸、消防、安防等设施设备。优化调整生活保障、防汛抗旱、消防、医疗应急防控等应急物资储备品类、规模、结构。</w:t>
            </w:r>
          </w:p>
          <w:p>
            <w:pPr>
              <w:widowControl/>
              <w:spacing w:line="276" w:lineRule="auto"/>
              <w:ind w:firstLine="562"/>
              <w:rPr>
                <w:rFonts w:ascii="仿宋_GB2312" w:hAnsi="宋体" w:cs="宋体"/>
                <w:kern w:val="0"/>
                <w:sz w:val="28"/>
                <w:szCs w:val="24"/>
              </w:rPr>
            </w:pPr>
            <w:r>
              <w:rPr>
                <w:rFonts w:hint="eastAsia" w:ascii="仿宋_GB2312" w:hAnsi="宋体" w:cs="宋体"/>
                <w:b/>
                <w:kern w:val="0"/>
                <w:sz w:val="28"/>
                <w:szCs w:val="24"/>
              </w:rPr>
              <w:t>建设乡镇（街道）综合应急物资储备点。</w:t>
            </w:r>
            <w:r>
              <w:rPr>
                <w:rFonts w:hint="eastAsia" w:ascii="仿宋_GB2312" w:hAnsi="宋体" w:cs="宋体"/>
                <w:kern w:val="0"/>
                <w:sz w:val="28"/>
                <w:szCs w:val="24"/>
              </w:rPr>
              <w:t>综合利用乡镇改革后空置的办公场地，依托中心消防救援站、便民服务中心（点）、基层粮油收储网点等建立、优化、升级乡镇（街道）应急物资储备点120个，配齐电力电气、消防安全、物资搬运等设施设备，完善城市消防、森林防火、防汛抗旱和生活类救灾物资储备种类。</w:t>
            </w:r>
          </w:p>
          <w:p>
            <w:pPr>
              <w:widowControl/>
              <w:spacing w:line="276" w:lineRule="auto"/>
              <w:ind w:firstLine="562"/>
              <w:rPr>
                <w:rFonts w:ascii="仿宋_GB2312" w:hAnsi="宋体" w:cs="宋体"/>
                <w:kern w:val="0"/>
                <w:sz w:val="28"/>
                <w:szCs w:val="24"/>
              </w:rPr>
            </w:pPr>
            <w:r>
              <w:rPr>
                <w:rFonts w:hint="eastAsia" w:ascii="仿宋_GB2312" w:hAnsi="宋体" w:cs="宋体"/>
                <w:b/>
                <w:kern w:val="0"/>
                <w:sz w:val="28"/>
                <w:szCs w:val="24"/>
              </w:rPr>
              <w:t>建设社会和家庭应急物资储备试点。</w:t>
            </w:r>
            <w:r>
              <w:rPr>
                <w:rFonts w:hint="eastAsia" w:ascii="仿宋_GB2312" w:hAnsi="宋体" w:cs="宋体"/>
                <w:kern w:val="0"/>
                <w:sz w:val="28"/>
                <w:szCs w:val="24"/>
              </w:rPr>
              <w:t>通过政府补助方式，鼓励社会组织和家庭加强应急物资储备。制定家庭应急物资储备推荐清单，并随时更新、动态管理、精准掌握。在8个县（市、区）各2个乡镇（街道）进行试点示范，初步形成社会和家庭应急物资储备体系雏形。</w:t>
            </w:r>
          </w:p>
          <w:p>
            <w:pPr>
              <w:widowControl/>
              <w:spacing w:line="276" w:lineRule="auto"/>
              <w:ind w:firstLine="562"/>
              <w:rPr>
                <w:rFonts w:ascii="仿宋_GB2312" w:hAnsi="宋体" w:cs="宋体"/>
                <w:kern w:val="0"/>
                <w:sz w:val="28"/>
                <w:szCs w:val="24"/>
              </w:rPr>
            </w:pPr>
            <w:r>
              <w:rPr>
                <w:rFonts w:hint="eastAsia" w:ascii="仿宋_GB2312" w:hAnsi="宋体" w:cs="宋体"/>
                <w:b/>
                <w:kern w:val="0"/>
                <w:sz w:val="28"/>
                <w:szCs w:val="24"/>
              </w:rPr>
              <w:t>建设应急预案体系。</w:t>
            </w:r>
            <w:r>
              <w:rPr>
                <w:rFonts w:hint="eastAsia" w:ascii="仿宋_GB2312" w:hAnsi="宋体" w:cs="宋体"/>
                <w:kern w:val="0"/>
                <w:sz w:val="28"/>
                <w:szCs w:val="24"/>
              </w:rPr>
              <w:t>制定完善市、县两级总体应急预案、专项应急预案、行业预案和部门预案，重点加强不同层级应急预案的有效衔接和数字化管理。针对我市洪涝、地质灾害、森林火灾等自然灾害易发区，制定重特大自然灾害专项应急预案行动方案，并开展桌面推演和实战演练，提升预案科学性、时效性和可操作性。</w:t>
            </w:r>
          </w:p>
        </w:tc>
      </w:tr>
    </w:tbl>
    <w:p>
      <w:pPr>
        <w:ind w:firstLine="640"/>
        <w:rPr>
          <w:color w:val="000000" w:themeColor="text1"/>
          <w14:textFill>
            <w14:solidFill>
              <w14:schemeClr w14:val="tx1"/>
            </w14:solidFill>
          </w14:textFill>
        </w:rPr>
      </w:pPr>
    </w:p>
    <w:p>
      <w:pPr>
        <w:pStyle w:val="3"/>
      </w:pPr>
      <w:bookmarkStart w:id="21" w:name="_Toc116564482"/>
      <w:r>
        <w:rPr>
          <w:rFonts w:hint="eastAsia"/>
        </w:rPr>
        <w:t>第三节 加强粮油供应网络</w:t>
      </w:r>
      <w:r>
        <w:t>建设</w:t>
      </w:r>
      <w:bookmarkEnd w:id="21"/>
    </w:p>
    <w:p>
      <w:pPr>
        <w:pStyle w:val="4"/>
      </w:pPr>
      <w:r>
        <w:rPr>
          <w:rFonts w:hint="eastAsia"/>
        </w:rPr>
        <w:t>一、优化粮油供应网点的空间布局</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粮食和储备部门要加强与发展改革、市场监管等部门协调配合，重点完善粮油应急供应网点布局。充分利用和整合现有资源，选择认定信誉好的国有或国有控股粮油零售网点、放心粮油点、军粮保供点等纳入粮油供应点；人口密集和重点地区要依托连锁超市、粮油批发市场和电商平台及其他粮油零售企业，扩大和优化粮油应急网点范围，实现街道乡镇全覆盖。对中心城区和各新城区域营业面积较大、辐射人口较多的网点给予重点支持，形成以保障中心为龙头，以配送中心为骨干、以大中型超市、农贸市场、粮油经销店为基础的粮油供应网络。</w:t>
      </w:r>
    </w:p>
    <w:p>
      <w:pPr>
        <w:pStyle w:val="4"/>
      </w:pPr>
      <w:r>
        <w:rPr>
          <w:rFonts w:hint="eastAsia"/>
        </w:rPr>
        <w:t>二、</w:t>
      </w:r>
      <w:r>
        <w:t>建立</w:t>
      </w:r>
      <w:r>
        <w:rPr>
          <w:rFonts w:hint="eastAsia"/>
        </w:rPr>
        <w:t>和</w:t>
      </w:r>
      <w:r>
        <w:t>健全粮油应急加工网络</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按照统筹安排、合理布局的原则，根据应急加工的需要，将交通便利、设施较好且具备加工能力的大中型粮油加工企业，作为政府定点应急加工指定企业，承担应急粮油的加工任务。</w:t>
      </w:r>
      <w:r>
        <w:rPr>
          <w:rFonts w:hint="eastAsia"/>
          <w:color w:val="000000" w:themeColor="text1"/>
          <w14:textFill>
            <w14:solidFill>
              <w14:schemeClr w14:val="tx1"/>
            </w14:solidFill>
          </w14:textFill>
        </w:rPr>
        <w:t>鼓励和支持一批优质粮食工程示范企业围绕提升应急加工能力进行技术改造，加强小包装灌装粮油生产能力建设，支持推进米面、玉米、杂粮及薯类主食制品的工业化生产，完善应急设施设备，提升粮油应急加工企业仓储和配送能力，确保应急日加工能力与市场日供应量需求相适应。</w:t>
      </w:r>
    </w:p>
    <w:p>
      <w:pPr>
        <w:pStyle w:val="4"/>
      </w:pPr>
      <w:r>
        <w:rPr>
          <w:rFonts w:hint="eastAsia"/>
        </w:rPr>
        <w:t>三、</w:t>
      </w:r>
      <w:r>
        <w:t>建立和完善粮食应急供应网络</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根据城镇居民、当地驻军和城乡救济的需要，完善粮油应急销售和发放网络。选择信誉好的粮油企业、放心粮油供应点、军粮保供网点、连锁超市、商场及其他粮油零售企业承担应急粮油供应任务。</w:t>
      </w:r>
      <w:r>
        <w:rPr>
          <w:rFonts w:hint="eastAsia"/>
          <w:color w:val="000000" w:themeColor="text1"/>
          <w14:textFill>
            <w14:solidFill>
              <w14:schemeClr w14:val="tx1"/>
            </w14:solidFill>
          </w14:textFill>
        </w:rPr>
        <w:t>原则上不新建应急供应网点，主要根据不同地区、应对不同突发事件的需求，制定应急供应网点的布局和标准，充分发挥现有网点作用，配备相应设施装备，提升粮油应急供应能力。</w:t>
      </w:r>
    </w:p>
    <w:p>
      <w:pPr>
        <w:pStyle w:val="4"/>
      </w:pPr>
      <w:r>
        <w:rPr>
          <w:rFonts w:hint="eastAsia"/>
        </w:rPr>
        <w:t>四、</w:t>
      </w:r>
      <w:r>
        <w:t>建立</w:t>
      </w:r>
      <w:r>
        <w:rPr>
          <w:rFonts w:hint="eastAsia"/>
        </w:rPr>
        <w:t>和完善</w:t>
      </w:r>
      <w:r>
        <w:t>粮油应急储运网络</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根据粮油储备、加工设施、供应网点的布局，科学规划，提前确定好运输线路、储存地点、运输工具等，确保应急粮油运输。进入粮油应急状态后，对应急粮油优先安排计划、优先运输。各级人民政府及其有关职能部门（单位）确保应急粮油运输畅通。</w:t>
      </w:r>
    </w:p>
    <w:p>
      <w:pPr>
        <w:ind w:firstLine="640"/>
        <w:rPr>
          <w:color w:val="000000" w:themeColor="text1"/>
          <w14:textFill>
            <w14:solidFill>
              <w14:schemeClr w14:val="tx1"/>
            </w14:solidFill>
          </w14:textFill>
        </w:rPr>
      </w:pPr>
    </w:p>
    <w:p>
      <w:pPr>
        <w:pStyle w:val="4"/>
        <w:rPr>
          <w:rFonts w:hAnsi="宋体" w:cs="宋体"/>
        </w:rPr>
      </w:pPr>
      <w:r>
        <w:rPr>
          <w:rFonts w:hint="eastAsia"/>
        </w:rPr>
        <w:t>专栏</w:t>
      </w:r>
      <w:r>
        <w:t xml:space="preserve">3  </w:t>
      </w:r>
      <w:r>
        <w:rPr>
          <w:rFonts w:hint="eastAsia"/>
        </w:rPr>
        <w:t>粮油绿色仓储重点工程</w:t>
      </w:r>
    </w:p>
    <w:tbl>
      <w:tblPr>
        <w:tblStyle w:val="11"/>
        <w:tblW w:w="8310" w:type="dxa"/>
        <w:tblInd w:w="0" w:type="dxa"/>
        <w:tblLayout w:type="autofit"/>
        <w:tblCellMar>
          <w:top w:w="15" w:type="dxa"/>
          <w:left w:w="15" w:type="dxa"/>
          <w:bottom w:w="15" w:type="dxa"/>
          <w:right w:w="15" w:type="dxa"/>
        </w:tblCellMar>
      </w:tblPr>
      <w:tblGrid>
        <w:gridCol w:w="8310"/>
      </w:tblGrid>
      <w:tr>
        <w:tblPrEx>
          <w:tblCellMar>
            <w:top w:w="15" w:type="dxa"/>
            <w:left w:w="15" w:type="dxa"/>
            <w:bottom w:w="15" w:type="dxa"/>
            <w:right w:w="15" w:type="dxa"/>
          </w:tblCellMar>
        </w:tblPrEx>
        <w:trPr>
          <w:trHeight w:val="1425" w:hRule="atLeast"/>
        </w:trPr>
        <w:tc>
          <w:tcPr>
            <w:tcW w:w="831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ind w:firstLine="562"/>
              <w:jc w:val="left"/>
              <w:rPr>
                <w:rFonts w:ascii="仿宋_GB2312" w:hAnsi="宋体" w:cs="宋体"/>
                <w:kern w:val="0"/>
                <w:szCs w:val="24"/>
              </w:rPr>
            </w:pPr>
            <w:r>
              <w:rPr>
                <w:rFonts w:hint="eastAsia" w:ascii="仿宋_GB2312" w:hAnsi="宋体" w:cs="宋体"/>
                <w:b/>
                <w:kern w:val="0"/>
                <w:sz w:val="28"/>
                <w:szCs w:val="24"/>
              </w:rPr>
              <w:t>建设粮油绿色仓储设施。</w:t>
            </w:r>
            <w:r>
              <w:rPr>
                <w:rFonts w:hint="eastAsia" w:ascii="仿宋_GB2312" w:hAnsi="宋体" w:cs="宋体"/>
                <w:kern w:val="0"/>
                <w:sz w:val="28"/>
                <w:szCs w:val="24"/>
              </w:rPr>
              <w:t>推广低温、气调等保质保鲜和防虫防霉等绿色储粮技术运用与智能化仓储管理融合发展。鼓励分品种分等级分仓储存优质粮食，实现保质保鲜，提高粮油储存安全水平和仓储环节效益。推广智能低温储藏，升级改造控温储备库。加快人工智能、物联网、大数据等技术在出入库管理、粮油远程检测、粮情在线监控、气调通风、安防等环节的集成应用。</w:t>
            </w:r>
          </w:p>
        </w:tc>
      </w:tr>
    </w:tbl>
    <w:p>
      <w:pPr>
        <w:pStyle w:val="3"/>
      </w:pPr>
      <w:bookmarkStart w:id="22" w:name="_Toc116564483"/>
      <w:r>
        <w:rPr>
          <w:rFonts w:hint="eastAsia"/>
        </w:rPr>
        <w:t>第四节 强化粮油市场宏观调控</w:t>
      </w:r>
      <w:bookmarkEnd w:id="22"/>
    </w:p>
    <w:p>
      <w:pPr>
        <w:pStyle w:val="4"/>
      </w:pPr>
      <w:r>
        <w:rPr>
          <w:rFonts w:hint="eastAsia"/>
        </w:rPr>
        <w:t>一、加强粮油市场监测预警</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落实《国家粮食流通统计制度》，归口行业依法统计，督促各类涉粮企业建立经营台账，定期向粮食行政管理部门报送统计数据。</w:t>
      </w:r>
      <w:r>
        <w:rPr>
          <w:color w:val="000000" w:themeColor="text1"/>
          <w14:textFill>
            <w14:solidFill>
              <w14:schemeClr w14:val="tx1"/>
            </w14:solidFill>
          </w14:textFill>
        </w:rPr>
        <w:t>完善粮食产、购、储、运、加、销等数据信息采集、分析和发布体系，提高服务决策、服务行业、服务社会的能力和水平。</w:t>
      </w:r>
      <w:r>
        <w:rPr>
          <w:rFonts w:hint="eastAsia"/>
          <w:color w:val="000000" w:themeColor="text1"/>
          <w14:textFill>
            <w14:solidFill>
              <w14:schemeClr w14:val="tx1"/>
            </w14:solidFill>
          </w14:textFill>
        </w:rPr>
        <w:t>切实加强市场监测预警，密切关注本地区米面油、蔬菜、肉蛋奶等生活必需品市场的产供运销变化和市场价格变化，做好形势分析和研判。</w:t>
      </w:r>
      <w:r>
        <w:rPr>
          <w:rFonts w:cs="Times New Roman"/>
          <w:szCs w:val="20"/>
        </w:rPr>
        <w:t>对价格波动较大的重要民生商品，要做好信息发布和产销衔接、供需引导。</w:t>
      </w:r>
      <w:r>
        <w:rPr>
          <w:rFonts w:hint="eastAsia"/>
          <w:color w:val="000000" w:themeColor="text1"/>
          <w14:textFill>
            <w14:solidFill>
              <w14:schemeClr w14:val="tx1"/>
            </w14:solidFill>
          </w14:textFill>
        </w:rPr>
        <w:t>强化信息化能力建设，加强我市粮食市场监测预警体系顶层设计，优化市场监测结构、布局和品种，增强监测灵敏度和准确性，建立以重点粮油品种为主线的分析师团队，完善粮食市场形势分析会商机制、覆盖“产购储加销”各环节信息的数据资源整合机制及信息发布和上报工作机制。</w:t>
      </w:r>
    </w:p>
    <w:p>
      <w:pPr>
        <w:pStyle w:val="4"/>
      </w:pPr>
      <w:r>
        <w:rPr>
          <w:rFonts w:hint="eastAsia"/>
        </w:rPr>
        <w:t>二、维护粮油市场秩序</w:t>
      </w:r>
    </w:p>
    <w:p>
      <w:pPr>
        <w:ind w:firstLine="640"/>
      </w:pPr>
      <w:r>
        <w:rPr>
          <w:rFonts w:hint="eastAsia"/>
        </w:rPr>
        <w:t>执行粮食收购资格准入制度，加强行政监督检查和行政执法工作，加大综合执法力度。加快建立粮食经营企业信用体系和粮食市场监管协调机制，坚决打击囤积居奇、哄抬粮价、以次充好、掺杂使假、伪造计量数据等扰乱粮食市场秩序的行为。加强进口粮食质量安全把关，保护消费者合法权益。健全粮食经营企业信用征集指标，依托省企业信用信息系统，准确、及时地披露粮食经营企业信用信息。按照“在地监管”原则，接受上级委托，做好属地内中央储备粮，省、市级储备粮等事权粮食库存检查以及政策性粮食出入库监管工作。</w:t>
      </w:r>
    </w:p>
    <w:p>
      <w:pPr>
        <w:pStyle w:val="4"/>
      </w:pPr>
      <w:r>
        <w:rPr>
          <w:rFonts w:hint="eastAsia"/>
        </w:rPr>
        <w:t>三、促进粮油产销合作</w:t>
      </w:r>
    </w:p>
    <w:p>
      <w:pPr>
        <w:ind w:firstLine="640"/>
      </w:pPr>
      <w:r>
        <w:rPr>
          <w:rFonts w:hint="eastAsia"/>
        </w:rPr>
        <w:t>促进形成统一、开放、平等竞争的粮食市场体系。支持粮食企业互联网发展，大力发展连锁经营、电子商务、期货市场等新型粮食流通业态。县（市、区）间要根据产销余缺情况，按照互惠互利的原则，建立紧密稳定的产销关系。支持企业开展区域产销协作，确保总量平衡和品种调剂。鼓励和支持粮食骨干企业、转化用粮大型企业到市内外产区投资建设或租赁粮源基地和仓储物流设施，建立异地储备，或到市内外销区建设仓储物流设施和营销网络。鼓励有条件的企业走出去，充分利用市场和资源。</w:t>
      </w:r>
    </w:p>
    <w:p>
      <w:pPr>
        <w:pStyle w:val="4"/>
      </w:pPr>
      <w:r>
        <w:rPr>
          <w:rFonts w:hint="eastAsia"/>
        </w:rPr>
        <w:t>四、做好应急调度事后评估</w:t>
      </w:r>
    </w:p>
    <w:p>
      <w:pPr>
        <w:ind w:firstLine="640"/>
        <w:rPr>
          <w:rFonts w:ascii="仿宋_GB2312"/>
        </w:rPr>
      </w:pPr>
      <w:r>
        <w:rPr>
          <w:rFonts w:hint="eastAsia" w:ascii="仿宋_GB2312"/>
        </w:rPr>
        <w:t>按照“科学防范、精准调控、及时处置、闭环管理”的要求，进一步完善粮油应急保供预案，定期开展粮油应急保供实战演练。对应急粮油物资调运的组织协调能力、保障能力以及调运的各个环节进行评估，研究提出改进措施，核定总体应急加工能力。科学确定终端配送网点数量，掌控应急配送运输力量，提升应急保供跨部门、跨区域协调能力，以应急保障机制的确定性应对突发事件的不确定性，确保重大事件发生时保障第一批粮油供应，维护粮油市场稳定。</w:t>
      </w:r>
    </w:p>
    <w:p>
      <w:pPr>
        <w:pStyle w:val="4"/>
        <w:rPr>
          <w:rFonts w:hAnsi="宋体" w:cs="宋体"/>
        </w:rPr>
      </w:pPr>
      <w:r>
        <w:rPr>
          <w:rFonts w:hint="eastAsia"/>
        </w:rPr>
        <w:t>专栏</w:t>
      </w:r>
      <w:r>
        <w:t xml:space="preserve">4  </w:t>
      </w:r>
      <w:r>
        <w:rPr>
          <w:rFonts w:hint="eastAsia"/>
        </w:rPr>
        <w:t>粮油监测预警重点工程</w:t>
      </w:r>
    </w:p>
    <w:tbl>
      <w:tblPr>
        <w:tblStyle w:val="11"/>
        <w:tblW w:w="8310" w:type="dxa"/>
        <w:tblInd w:w="0" w:type="dxa"/>
        <w:tblLayout w:type="autofit"/>
        <w:tblCellMar>
          <w:top w:w="15" w:type="dxa"/>
          <w:left w:w="15" w:type="dxa"/>
          <w:bottom w:w="15" w:type="dxa"/>
          <w:right w:w="15" w:type="dxa"/>
        </w:tblCellMar>
      </w:tblPr>
      <w:tblGrid>
        <w:gridCol w:w="8310"/>
      </w:tblGrid>
      <w:tr>
        <w:tblPrEx>
          <w:tblCellMar>
            <w:top w:w="15" w:type="dxa"/>
            <w:left w:w="15" w:type="dxa"/>
            <w:bottom w:w="15" w:type="dxa"/>
            <w:right w:w="15" w:type="dxa"/>
          </w:tblCellMar>
        </w:tblPrEx>
        <w:trPr>
          <w:trHeight w:val="1425" w:hRule="atLeast"/>
        </w:trPr>
        <w:tc>
          <w:tcPr>
            <w:tcW w:w="831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ind w:firstLine="562"/>
              <w:jc w:val="left"/>
              <w:rPr>
                <w:rFonts w:ascii="仿宋_GB2312" w:hAnsi="宋体" w:cs="宋体"/>
                <w:kern w:val="0"/>
                <w:sz w:val="28"/>
                <w:szCs w:val="24"/>
              </w:rPr>
            </w:pPr>
            <w:r>
              <w:rPr>
                <w:rFonts w:hint="eastAsia" w:ascii="仿宋_GB2312" w:hAnsi="宋体" w:cs="宋体"/>
                <w:b/>
                <w:kern w:val="0"/>
                <w:sz w:val="28"/>
                <w:szCs w:val="24"/>
              </w:rPr>
              <w:t>建设粮食预警预测智能决策中心。</w:t>
            </w:r>
            <w:r>
              <w:rPr>
                <w:rFonts w:hint="eastAsia" w:ascii="仿宋_GB2312" w:hAnsi="宋体" w:cs="宋体"/>
                <w:kern w:val="0"/>
                <w:sz w:val="28"/>
                <w:szCs w:val="24"/>
              </w:rPr>
              <w:t>综合利用粮食生产、出入库、库存、粮情、质量、仓储、加工以及国内外粮食供应、交易等涉粮信息资源，加强智能预警预测模型建设，实现我市粮食供需平衡、市场行情、质量安全的预警预测，大幅提高预警预测、智能决策能力和水平。</w:t>
            </w:r>
          </w:p>
          <w:p>
            <w:pPr>
              <w:ind w:firstLine="562"/>
              <w:jc w:val="left"/>
              <w:rPr>
                <w:rFonts w:ascii="仿宋_GB2312" w:hAnsi="宋体" w:cs="宋体"/>
                <w:kern w:val="0"/>
                <w:szCs w:val="24"/>
              </w:rPr>
            </w:pPr>
            <w:r>
              <w:rPr>
                <w:rFonts w:hint="eastAsia" w:ascii="仿宋_GB2312" w:hAnsi="宋体" w:cs="宋体"/>
                <w:b/>
                <w:kern w:val="0"/>
                <w:sz w:val="28"/>
                <w:szCs w:val="24"/>
              </w:rPr>
              <w:t>提升粮食质量安全检验监测数字化水平。</w:t>
            </w:r>
            <w:r>
              <w:rPr>
                <w:rFonts w:hint="eastAsia" w:ascii="仿宋_GB2312" w:hAnsi="宋体" w:cs="宋体"/>
                <w:kern w:val="0"/>
                <w:sz w:val="28"/>
                <w:szCs w:val="24"/>
              </w:rPr>
              <w:t>运用大数据、物联网、区块链等信息技术，实现质量安全检验监测信息化，进一步提高检验监测结果的可靠性、及时性，确保粮食质量安全数据的真实性、代表性。做好与国家及省级平台的对接，确保互联互通、信息共享，避免重复建设和资源浪费。</w:t>
            </w:r>
          </w:p>
        </w:tc>
      </w:tr>
    </w:tbl>
    <w:p>
      <w:pPr>
        <w:ind w:firstLine="640"/>
        <w:rPr>
          <w:color w:val="000000" w:themeColor="text1"/>
          <w14:textFill>
            <w14:solidFill>
              <w14:schemeClr w14:val="tx1"/>
            </w14:solidFill>
          </w14:textFill>
        </w:rPr>
      </w:pPr>
    </w:p>
    <w:p>
      <w:pPr>
        <w:pStyle w:val="2"/>
      </w:pPr>
      <w:bookmarkStart w:id="23" w:name="_Toc116564484"/>
      <w:r>
        <w:rPr>
          <w:rFonts w:hint="eastAsia"/>
        </w:rPr>
        <w:t xml:space="preserve">第四章 </w:t>
      </w:r>
      <w:r>
        <w:t xml:space="preserve"> </w:t>
      </w:r>
      <w:r>
        <w:rPr>
          <w:rFonts w:hint="eastAsia"/>
        </w:rPr>
        <w:t>发展布局</w:t>
      </w:r>
      <w:bookmarkEnd w:id="23"/>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按照科学预测、均衡布局、多层次、可落地的理念，在完善粮油应急保障中心、应急配送中心和应急供应网点的基础上，优化区域配送、末端网点布局，形成以粮油应急保障中心为龙头、以粮油应急配送中心为骨干和粮油应急供应网点为支撑的三级粮油应急保障体系，依据城市空间发展规划要求，构建“一核引领、八心驱动、多点支撑”的粮油应急供应保障新格局。</w:t>
      </w:r>
    </w:p>
    <w:p>
      <w:pPr>
        <w:pStyle w:val="3"/>
      </w:pPr>
      <w:bookmarkStart w:id="24" w:name="_Toc116564485"/>
      <w:r>
        <w:rPr>
          <w:rFonts w:hint="eastAsia"/>
        </w:rPr>
        <w:t>第一节 一核引领</w:t>
      </w:r>
      <w:bookmarkEnd w:id="24"/>
    </w:p>
    <w:p>
      <w:pPr>
        <w:ind w:firstLine="643"/>
        <w:rPr>
          <w:bCs/>
          <w:color w:val="000000" w:themeColor="text1"/>
          <w14:textFill>
            <w14:solidFill>
              <w14:schemeClr w14:val="tx1"/>
            </w14:solidFill>
          </w14:textFill>
        </w:rPr>
      </w:pPr>
      <w:r>
        <w:rPr>
          <w:rFonts w:hint="eastAsia"/>
          <w:b/>
          <w:color w:val="000000" w:themeColor="text1"/>
          <w14:textFill>
            <w14:solidFill>
              <w14:schemeClr w14:val="tx1"/>
            </w14:solidFill>
          </w14:textFill>
        </w:rPr>
        <w:t>“一核引领”，即一个综合性粮油应急保障中心：</w:t>
      </w:r>
      <w:r>
        <w:rPr>
          <w:rFonts w:hint="eastAsia"/>
          <w:color w:val="000000" w:themeColor="text1"/>
          <w14:textFill>
            <w14:solidFill>
              <w14:schemeClr w14:val="tx1"/>
            </w14:solidFill>
          </w14:textFill>
        </w:rPr>
        <w:t>四川</w:t>
      </w:r>
      <w:r>
        <w:rPr>
          <w:rFonts w:hint="eastAsia"/>
          <w:bCs/>
          <w:color w:val="000000" w:themeColor="text1"/>
          <w14:textFill>
            <w14:solidFill>
              <w14:schemeClr w14:val="tx1"/>
            </w14:solidFill>
          </w14:textFill>
        </w:rPr>
        <w:t>达州国家粮食储备库。</w:t>
      </w:r>
    </w:p>
    <w:p>
      <w:pPr>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粮油应急保障中心</w:t>
      </w:r>
      <w:r>
        <w:rPr>
          <w:rFonts w:hint="eastAsia"/>
          <w:color w:val="000000" w:themeColor="text1"/>
          <w14:textFill>
            <w14:solidFill>
              <w14:schemeClr w14:val="tx1"/>
            </w14:solidFill>
          </w14:textFill>
        </w:rPr>
        <w:t>是粮油供应市场正常运行的重要保障，作为全市粮油储存、加工、交易、物流集散基地，担负全市粮油仓储贸易、商品物流、加工供应等骨干作用，</w:t>
      </w:r>
      <w:bookmarkStart w:id="25" w:name="_Hlk108549639"/>
      <w:r>
        <w:rPr>
          <w:rFonts w:hint="eastAsia"/>
          <w:color w:val="000000" w:themeColor="text1"/>
          <w14:textFill>
            <w14:solidFill>
              <w14:schemeClr w14:val="tx1"/>
            </w14:solidFill>
          </w14:textFill>
        </w:rPr>
        <w:t>是实现粮油供应安全畅通、高效流通的大动脉。</w:t>
      </w:r>
      <w:bookmarkEnd w:id="25"/>
    </w:p>
    <w:p>
      <w:pPr>
        <w:ind w:firstLine="643"/>
        <w:rPr>
          <w:bCs/>
          <w:color w:val="000000" w:themeColor="text1"/>
          <w14:textFill>
            <w14:solidFill>
              <w14:schemeClr w14:val="tx1"/>
            </w14:solidFill>
          </w14:textFill>
        </w:rPr>
      </w:pPr>
      <w:r>
        <w:rPr>
          <w:rFonts w:hint="eastAsia"/>
          <w:b/>
          <w:color w:val="000000" w:themeColor="text1"/>
          <w14:textFill>
            <w14:solidFill>
              <w14:schemeClr w14:val="tx1"/>
            </w14:solidFill>
          </w14:textFill>
        </w:rPr>
        <w:t>四川</w:t>
      </w:r>
      <w:r>
        <w:rPr>
          <w:rFonts w:hint="eastAsia"/>
          <w:b/>
          <w:bCs/>
          <w:color w:val="000000" w:themeColor="text1"/>
          <w14:textFill>
            <w14:solidFill>
              <w14:schemeClr w14:val="tx1"/>
            </w14:solidFill>
          </w14:textFill>
        </w:rPr>
        <w:t>达州国家粮食储备库</w:t>
      </w:r>
      <w:r>
        <w:rPr>
          <w:rFonts w:hint="eastAsia"/>
          <w:bCs/>
          <w:color w:val="000000" w:themeColor="text1"/>
          <w14:textFill>
            <w14:solidFill>
              <w14:schemeClr w14:val="tx1"/>
            </w14:solidFill>
          </w14:textFill>
        </w:rPr>
        <w:t>，又名达州市中贸粮油有限公司，</w:t>
      </w:r>
      <w:r>
        <w:rPr>
          <w:bCs/>
          <w:color w:val="000000" w:themeColor="text1"/>
          <w14:textFill>
            <w14:solidFill>
              <w14:schemeClr w14:val="tx1"/>
            </w14:solidFill>
          </w14:textFill>
        </w:rPr>
        <w:t>已初步形成仓储保管、物流、生产加工、中转贸易等多元化经营的粮油产业链，是川东北较大的粮油集散地和粮油贸易大户，是省、市应急粮油供应网点，是达州市人民政府命名的农业产业化经营重点龙头企业。</w:t>
      </w:r>
    </w:p>
    <w:p>
      <w:pPr>
        <w:pStyle w:val="3"/>
      </w:pPr>
      <w:bookmarkStart w:id="26" w:name="_Toc116564486"/>
      <w:r>
        <w:rPr>
          <w:rFonts w:hint="eastAsia"/>
        </w:rPr>
        <w:t>第二节 八心驱动</w:t>
      </w:r>
      <w:bookmarkEnd w:id="26"/>
    </w:p>
    <w:p>
      <w:pPr>
        <w:ind w:firstLine="643"/>
        <w:rPr>
          <w:bCs/>
          <w:color w:val="000000" w:themeColor="text1"/>
          <w14:textFill>
            <w14:solidFill>
              <w14:schemeClr w14:val="tx1"/>
            </w14:solidFill>
          </w14:textFill>
        </w:rPr>
      </w:pPr>
      <w:r>
        <w:rPr>
          <w:rFonts w:hint="eastAsia"/>
          <w:b/>
          <w:color w:val="000000" w:themeColor="text1"/>
          <w14:textFill>
            <w14:solidFill>
              <w14:schemeClr w14:val="tx1"/>
            </w14:solidFill>
          </w14:textFill>
        </w:rPr>
        <w:t>“八心驱动”，即八个粮油应急配送中心：</w:t>
      </w:r>
      <w:r>
        <w:rPr>
          <w:rFonts w:hint="eastAsia"/>
          <w:bCs/>
          <w:color w:val="000000" w:themeColor="text1"/>
          <w14:textFill>
            <w14:solidFill>
              <w14:schemeClr w14:val="tx1"/>
            </w14:solidFill>
          </w14:textFill>
        </w:rPr>
        <w:t>通川区</w:t>
      </w:r>
      <w:r>
        <w:rPr>
          <w:rFonts w:hint="eastAsia"/>
          <w:color w:val="000000" w:themeColor="text1"/>
          <w14:textFill>
            <w14:solidFill>
              <w14:schemeClr w14:val="tx1"/>
            </w14:solidFill>
          </w14:textFill>
        </w:rPr>
        <w:t>粮油应急配送中心、</w:t>
      </w:r>
      <w:r>
        <w:rPr>
          <w:rFonts w:hint="eastAsia"/>
          <w:bCs/>
          <w:color w:val="000000" w:themeColor="text1"/>
          <w14:textFill>
            <w14:solidFill>
              <w14:schemeClr w14:val="tx1"/>
            </w14:solidFill>
          </w14:textFill>
        </w:rPr>
        <w:t>达川区</w:t>
      </w:r>
      <w:r>
        <w:rPr>
          <w:rFonts w:hint="eastAsia"/>
          <w:color w:val="000000" w:themeColor="text1"/>
          <w14:textFill>
            <w14:solidFill>
              <w14:schemeClr w14:val="tx1"/>
            </w14:solidFill>
          </w14:textFill>
        </w:rPr>
        <w:t>粮油应急配送中心</w:t>
      </w:r>
      <w:r>
        <w:rPr>
          <w:rFonts w:hint="eastAsia"/>
          <w:bCs/>
          <w:color w:val="000000" w:themeColor="text1"/>
          <w14:textFill>
            <w14:solidFill>
              <w14:schemeClr w14:val="tx1"/>
            </w14:solidFill>
          </w14:textFill>
        </w:rPr>
        <w:t>、高新区</w:t>
      </w:r>
      <w:r>
        <w:rPr>
          <w:rFonts w:hint="eastAsia"/>
          <w:color w:val="000000" w:themeColor="text1"/>
          <w14:textFill>
            <w14:solidFill>
              <w14:schemeClr w14:val="tx1"/>
            </w14:solidFill>
          </w14:textFill>
        </w:rPr>
        <w:t>粮油应急配送中心、</w:t>
      </w:r>
      <w:r>
        <w:rPr>
          <w:rFonts w:hint="eastAsia"/>
          <w:bCs/>
          <w:color w:val="000000" w:themeColor="text1"/>
          <w14:textFill>
            <w14:solidFill>
              <w14:schemeClr w14:val="tx1"/>
            </w14:solidFill>
          </w14:textFill>
        </w:rPr>
        <w:t>万源市</w:t>
      </w:r>
      <w:r>
        <w:rPr>
          <w:rFonts w:hint="eastAsia"/>
          <w:color w:val="000000" w:themeColor="text1"/>
          <w14:textFill>
            <w14:solidFill>
              <w14:schemeClr w14:val="tx1"/>
            </w14:solidFill>
          </w14:textFill>
        </w:rPr>
        <w:t>粮油应急配送中心</w:t>
      </w:r>
      <w:r>
        <w:rPr>
          <w:rFonts w:hint="eastAsia"/>
          <w:bCs/>
          <w:color w:val="000000" w:themeColor="text1"/>
          <w14:textFill>
            <w14:solidFill>
              <w14:schemeClr w14:val="tx1"/>
            </w14:solidFill>
          </w14:textFill>
        </w:rPr>
        <w:t>、宣汉县</w:t>
      </w:r>
      <w:r>
        <w:rPr>
          <w:rFonts w:hint="eastAsia"/>
          <w:color w:val="000000" w:themeColor="text1"/>
          <w14:textFill>
            <w14:solidFill>
              <w14:schemeClr w14:val="tx1"/>
            </w14:solidFill>
          </w14:textFill>
        </w:rPr>
        <w:t>粮油应急配送中心</w:t>
      </w:r>
      <w:r>
        <w:rPr>
          <w:rFonts w:hint="eastAsia"/>
          <w:bCs/>
          <w:color w:val="000000" w:themeColor="text1"/>
          <w14:textFill>
            <w14:solidFill>
              <w14:schemeClr w14:val="tx1"/>
            </w14:solidFill>
          </w14:textFill>
        </w:rPr>
        <w:t>、大竹县</w:t>
      </w:r>
      <w:r>
        <w:rPr>
          <w:rFonts w:hint="eastAsia"/>
          <w:color w:val="000000" w:themeColor="text1"/>
          <w14:textFill>
            <w14:solidFill>
              <w14:schemeClr w14:val="tx1"/>
            </w14:solidFill>
          </w14:textFill>
        </w:rPr>
        <w:t>粮油应急配送中心</w:t>
      </w:r>
      <w:r>
        <w:rPr>
          <w:rFonts w:hint="eastAsia"/>
          <w:bCs/>
          <w:color w:val="000000" w:themeColor="text1"/>
          <w14:textFill>
            <w14:solidFill>
              <w14:schemeClr w14:val="tx1"/>
            </w14:solidFill>
          </w14:textFill>
        </w:rPr>
        <w:t>、渠县</w:t>
      </w:r>
      <w:r>
        <w:rPr>
          <w:rFonts w:hint="eastAsia"/>
          <w:color w:val="000000" w:themeColor="text1"/>
          <w14:textFill>
            <w14:solidFill>
              <w14:schemeClr w14:val="tx1"/>
            </w14:solidFill>
          </w14:textFill>
        </w:rPr>
        <w:t>粮油应急配送中心</w:t>
      </w:r>
      <w:r>
        <w:rPr>
          <w:rFonts w:hint="eastAsia"/>
          <w:bCs/>
          <w:color w:val="000000" w:themeColor="text1"/>
          <w14:textFill>
            <w14:solidFill>
              <w14:schemeClr w14:val="tx1"/>
            </w14:solidFill>
          </w14:textFill>
        </w:rPr>
        <w:t>、开江县</w:t>
      </w:r>
      <w:r>
        <w:rPr>
          <w:rFonts w:hint="eastAsia"/>
          <w:color w:val="000000" w:themeColor="text1"/>
          <w14:textFill>
            <w14:solidFill>
              <w14:schemeClr w14:val="tx1"/>
            </w14:solidFill>
          </w14:textFill>
        </w:rPr>
        <w:t>粮油应急配送中心</w:t>
      </w:r>
      <w:r>
        <w:rPr>
          <w:rFonts w:hint="eastAsia"/>
          <w:bCs/>
          <w:color w:val="000000" w:themeColor="text1"/>
          <w14:textFill>
            <w14:solidFill>
              <w14:schemeClr w14:val="tx1"/>
            </w14:solidFill>
          </w14:textFill>
        </w:rPr>
        <w:t>。</w:t>
      </w:r>
    </w:p>
    <w:p>
      <w:pPr>
        <w:widowControl/>
        <w:ind w:firstLine="643"/>
        <w:jc w:val="left"/>
        <w:rPr>
          <w:bCs/>
          <w:color w:val="000000" w:themeColor="text1"/>
          <w14:textFill>
            <w14:solidFill>
              <w14:schemeClr w14:val="tx1"/>
            </w14:solidFill>
          </w14:textFill>
        </w:rPr>
      </w:pPr>
      <w:r>
        <w:rPr>
          <w:rFonts w:hint="eastAsia"/>
          <w:b/>
          <w:bCs/>
          <w:color w:val="000000" w:themeColor="text1"/>
          <w14:textFill>
            <w14:solidFill>
              <w14:schemeClr w14:val="tx1"/>
            </w14:solidFill>
          </w14:textFill>
        </w:rPr>
        <w:t>粮油应急配送中心</w:t>
      </w:r>
      <w:r>
        <w:rPr>
          <w:rFonts w:hint="eastAsia"/>
          <w:bCs/>
          <w:color w:val="000000" w:themeColor="text1"/>
          <w14:textFill>
            <w14:solidFill>
              <w14:schemeClr w14:val="tx1"/>
            </w14:solidFill>
          </w14:textFill>
        </w:rPr>
        <w:t>是建立粮油供应的关键环节，作为大批量粮油产品供应的重要场所和粮油产品投入市场的生力军，将粮油供应资源按市场化要求重新整合，建设一个集粮油仓储、批发、物流、信息、结算于一体的规模化、现代化的粮油应急配送中心，确保粮油供应，满足城乡居民口粮需求，进一步完善粮油应急储运、供应各环节协调配套的新型应急粮油保障体系。</w:t>
      </w:r>
    </w:p>
    <w:p>
      <w:pPr>
        <w:widowControl/>
        <w:ind w:firstLine="64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在粮油安全保障体系下向粮油市场持续供给，全市八大配送中心能够基本保障正常状态下市民消费需求，且在突发重大公共事件的情形下也能保证及时有效的应急供应。按照达州市人口分布、粮油储备量及各区县粮油市场结构，分区域配备粮油应急配送中心，有助于生产加工区域粮油产品迅速投放市场，调节市场供需，确保日常供销和经营，保障应急供给，带动粮油应急配送中心对全市的辐射能力。</w:t>
      </w:r>
    </w:p>
    <w:p>
      <w:pPr>
        <w:pStyle w:val="3"/>
        <w:ind w:firstLine="640"/>
      </w:pPr>
      <w:bookmarkStart w:id="27" w:name="_Toc116564487"/>
      <w:r>
        <w:rPr>
          <w:rFonts w:hint="eastAsia"/>
        </w:rPr>
        <w:t>第三节 多点支撑</w:t>
      </w:r>
      <w:bookmarkEnd w:id="27"/>
    </w:p>
    <w:p>
      <w:pPr>
        <w:ind w:firstLine="643"/>
        <w:rPr>
          <w:bCs/>
          <w:color w:val="000000" w:themeColor="text1"/>
          <w14:textFill>
            <w14:solidFill>
              <w14:schemeClr w14:val="tx1"/>
            </w14:solidFill>
          </w14:textFill>
        </w:rPr>
      </w:pPr>
      <w:r>
        <w:rPr>
          <w:rFonts w:hint="eastAsia"/>
          <w:b/>
          <w:color w:val="000000" w:themeColor="text1"/>
          <w14:textFill>
            <w14:solidFill>
              <w14:schemeClr w14:val="tx1"/>
            </w14:solidFill>
          </w14:textFill>
        </w:rPr>
        <w:t>“多点支撑”，</w:t>
      </w:r>
      <w:r>
        <w:rPr>
          <w:rFonts w:hint="eastAsia"/>
          <w:bCs/>
          <w:color w:val="000000" w:themeColor="text1"/>
          <w14:textFill>
            <w14:solidFill>
              <w14:schemeClr w14:val="tx1"/>
            </w14:solidFill>
          </w14:textFill>
        </w:rPr>
        <w:t>即以镇街为最小的服务单元，形成以大中型超市、农贸市场、粮油经销店为载体、多点分布的粮油应急供应网点布局，打通应急粮油供应的最后一公里，支撑全市粮油供应有序发展。</w:t>
      </w:r>
    </w:p>
    <w:p>
      <w:pPr>
        <w:ind w:firstLine="643"/>
        <w:rPr>
          <w:rFonts w:ascii="仿宋" w:hAnsi="仿宋"/>
          <w:color w:val="000000" w:themeColor="text1"/>
          <w14:textFill>
            <w14:solidFill>
              <w14:schemeClr w14:val="tx1"/>
            </w14:solidFill>
          </w14:textFill>
        </w:rPr>
      </w:pPr>
      <w:r>
        <w:rPr>
          <w:rFonts w:hint="eastAsia"/>
          <w:b/>
          <w:color w:val="000000" w:themeColor="text1"/>
          <w14:textFill>
            <w14:solidFill>
              <w14:schemeClr w14:val="tx1"/>
            </w14:solidFill>
          </w14:textFill>
        </w:rPr>
        <w:t>粮油应急供应网点</w:t>
      </w:r>
      <w:r>
        <w:rPr>
          <w:rFonts w:hint="eastAsia"/>
          <w:color w:val="000000" w:themeColor="text1"/>
          <w14:textFill>
            <w14:solidFill>
              <w14:schemeClr w14:val="tx1"/>
            </w14:solidFill>
          </w14:textFill>
        </w:rPr>
        <w:t>总量取决于城市人口增长及经济发展等因素，一般位于物流配送和居民采购较为便利的位置。</w:t>
      </w:r>
      <w:r>
        <w:rPr>
          <w:rFonts w:hint="eastAsia" w:ascii="仿宋" w:hAnsi="仿宋"/>
          <w:color w:val="000000" w:themeColor="text1"/>
          <w14:textFill>
            <w14:solidFill>
              <w14:schemeClr w14:val="tx1"/>
            </w14:solidFill>
          </w14:textFill>
        </w:rPr>
        <w:t>依据《达州市人民政府关于贯彻粮食安全省长责任制的实施意见》</w:t>
      </w:r>
      <w:r>
        <w:rPr>
          <w:rFonts w:ascii="仿宋" w:hAnsi="仿宋"/>
          <w:color w:val="000000" w:themeColor="text1"/>
          <w14:textFill>
            <w14:solidFill>
              <w14:schemeClr w14:val="tx1"/>
            </w14:solidFill>
          </w14:textFill>
        </w:rPr>
        <w:t>(达市府发[2015]38</w:t>
      </w:r>
      <w:r>
        <w:rPr>
          <w:rFonts w:hint="eastAsia" w:ascii="仿宋" w:hAnsi="仿宋"/>
          <w:color w:val="000000" w:themeColor="text1"/>
          <w14:textFill>
            <w14:solidFill>
              <w14:schemeClr w14:val="tx1"/>
            </w14:solidFill>
          </w14:textFill>
        </w:rPr>
        <w:t>号</w:t>
      </w:r>
      <w:r>
        <w:rPr>
          <w:rFonts w:ascii="仿宋" w:hAnsi="仿宋"/>
          <w:color w:val="000000" w:themeColor="text1"/>
          <w14:textFill>
            <w14:solidFill>
              <w14:schemeClr w14:val="tx1"/>
            </w14:solidFill>
          </w14:textFill>
        </w:rPr>
        <w:t>)</w:t>
      </w:r>
      <w:r>
        <w:rPr>
          <w:rFonts w:hint="eastAsia" w:ascii="仿宋" w:hAnsi="仿宋"/>
          <w:color w:val="000000" w:themeColor="text1"/>
          <w14:textFill>
            <w14:solidFill>
              <w14:schemeClr w14:val="tx1"/>
            </w14:solidFill>
          </w14:textFill>
        </w:rPr>
        <w:t>提出：健全粮食应急供应保障体系，按照“每个乡镇、街道应至少有1个应急供应网点；城区内人口集中的社区，每3万人应至少有1个应急供应网点，并配套相应的应急加工企业、储备设施和配送中心”的要求，优化调整粮食应供应网点，结合辖区人口数量、合理优化布局、补短强弱、完善粮食应急保障体系。</w:t>
      </w:r>
    </w:p>
    <w:p>
      <w:pPr>
        <w:ind w:firstLine="643"/>
        <w:rPr>
          <w:rFonts w:ascii="仿宋_GB2312"/>
          <w:b/>
        </w:rPr>
      </w:pPr>
      <w:r>
        <w:rPr>
          <w:rFonts w:hint="eastAsia" w:ascii="仿宋_GB2312"/>
          <w:b/>
        </w:rPr>
        <w:t>1.大中型超市</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鼓励多元业态的大中型超市集聚发展，在要培育的市级商业中心、区域性商业中心和交通便利的城乡结合处，合理增设大中型超市等商业业态，满足居民日常生活需求和提升粮食供应网点档次。在全市范围内引导连锁超市经营企业科学合理选址扩建，按照增强辐射的原则，在人口高度集中的区域，如通川区、达川区、高新区等，扩大大中型超市的辐射范围，强化服务功能。鼓励利用经营良好、资金链稳定的超市及时填补应急供应体系空缺，依据不同的消费层次和不同的业态种类合理布设，优化网点经营管理水平，提高粮食应急供应网点质量。</w:t>
      </w:r>
    </w:p>
    <w:p>
      <w:pPr>
        <w:ind w:firstLine="643"/>
        <w:rPr>
          <w:rFonts w:ascii="仿宋_GB2312"/>
          <w:b/>
        </w:rPr>
      </w:pPr>
      <w:r>
        <w:rPr>
          <w:rFonts w:hint="eastAsia" w:ascii="仿宋_GB2312"/>
          <w:b/>
        </w:rPr>
        <w:t>2</w:t>
      </w:r>
      <w:r>
        <w:rPr>
          <w:rFonts w:ascii="仿宋_GB2312"/>
          <w:b/>
        </w:rPr>
        <w:t>.</w:t>
      </w:r>
      <w:r>
        <w:rPr>
          <w:rFonts w:hint="eastAsia" w:ascii="仿宋_GB2312"/>
          <w:b/>
        </w:rPr>
        <w:t>农贸市场</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着眼于人口聚集和社区分布，结合居民生活半径、消费习惯的改变和消费升级的趋势，针对群众基础较好、但基础设施落后的传统农产品批发市场、农贸市场进行智慧化改造、升级，打造一批适应经济发展水平的新型农贸市场。将交通便利，经营状况良好、功能完备、技术设施完善、周边经济环境良好的农贸市场纳入提升改造范围，依据建设标准和布局要求对老旧农贸市场进行改造，在保留其原有特色的基础上，完善基础设施条件，大胆进行“破圈”“跨界”创新，推动数字化、智能化转型，挖掘新经济增长点；增大粮油产品吞吐量，提升农贸市场环境品质，建设一批基础设施完善、保障粮油产品供给的农贸市场。</w:t>
      </w:r>
    </w:p>
    <w:p>
      <w:pPr>
        <w:ind w:firstLine="643"/>
        <w:rPr>
          <w:rFonts w:ascii="仿宋_GB2312"/>
          <w:b/>
        </w:rPr>
      </w:pPr>
      <w:r>
        <w:rPr>
          <w:rFonts w:hint="eastAsia" w:ascii="仿宋_GB2312"/>
          <w:b/>
        </w:rPr>
        <w:t>3</w:t>
      </w:r>
      <w:r>
        <w:rPr>
          <w:rFonts w:ascii="仿宋_GB2312"/>
          <w:b/>
        </w:rPr>
        <w:t>.</w:t>
      </w:r>
      <w:r>
        <w:rPr>
          <w:rFonts w:hint="eastAsia" w:ascii="仿宋_GB2312"/>
          <w:b/>
        </w:rPr>
        <w:t>粮油经销店</w:t>
      </w:r>
    </w:p>
    <w:p>
      <w:pPr>
        <w:ind w:firstLine="640"/>
      </w:pPr>
      <w:r>
        <w:rPr>
          <w:rFonts w:hint="eastAsia"/>
          <w:color w:val="000000" w:themeColor="text1"/>
          <w14:textFill>
            <w14:solidFill>
              <w14:schemeClr w14:val="tx1"/>
            </w14:solidFill>
          </w14:textFill>
        </w:rPr>
        <w:t>结合社区周边居民数量、消费、经济水平，引导住宅和商业适当分离，提高商品质量与经营水平，满足居民便利生活和日常消费需求。鼓励</w:t>
      </w:r>
      <w:r>
        <w:rPr>
          <w:rFonts w:hint="eastAsia"/>
        </w:rPr>
        <w:t>粮油经销店</w:t>
      </w:r>
      <w:r>
        <w:rPr>
          <w:rFonts w:hint="eastAsia"/>
          <w:color w:val="000000" w:themeColor="text1"/>
          <w14:textFill>
            <w14:solidFill>
              <w14:schemeClr w14:val="tx1"/>
            </w14:solidFill>
          </w14:textFill>
        </w:rPr>
        <w:t>在城镇既有小区、新建居住区、城乡结合部，优化商业网点布局，加大主城区粮食经营网点调整力度，鼓励发展水果生鲜超市等新型商业网点。纳入应急供应体系的</w:t>
      </w:r>
      <w:r>
        <w:rPr>
          <w:rFonts w:hint="eastAsia"/>
        </w:rPr>
        <w:t>粮油经销店</w:t>
      </w:r>
      <w:r>
        <w:rPr>
          <w:rFonts w:hint="eastAsia"/>
          <w:color w:val="000000" w:themeColor="text1"/>
          <w14:textFill>
            <w14:solidFill>
              <w14:schemeClr w14:val="tx1"/>
            </w14:solidFill>
          </w14:textFill>
        </w:rPr>
        <w:t>要实行监测管理，关注各网点的经营状况及动态变化，对网点的新增、减少、变更建立监测体系，动态更新粮食应急供应网点。对因自然灾害多发地区、人口密度小的地区，结合实际设立必要的备用供应点，确保满足应急供应需要。</w:t>
      </w:r>
      <w:bookmarkStart w:id="28" w:name="_Toc116564488"/>
    </w:p>
    <w:p>
      <w:pPr>
        <w:pStyle w:val="2"/>
      </w:pPr>
      <w:r>
        <w:rPr>
          <w:rFonts w:hint="eastAsia"/>
        </w:rPr>
        <w:t>第五章  保障措施</w:t>
      </w:r>
      <w:bookmarkEnd w:id="28"/>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建设粮油供应体系和完善粮油供应网点是粮食应急保障体系中的重要组成部分，优化粮油网点布局和改善粮油网点环境，发挥粮油供应能力，是形成达州市粮油供应网络体系的有力抓手。</w:t>
      </w:r>
    </w:p>
    <w:p>
      <w:pPr>
        <w:pStyle w:val="3"/>
      </w:pPr>
      <w:bookmarkStart w:id="29" w:name="_Toc116564489"/>
      <w:r>
        <w:rPr>
          <w:rFonts w:hint="eastAsia"/>
        </w:rPr>
        <w:t>第一节 组织保障</w:t>
      </w:r>
      <w:bookmarkEnd w:id="29"/>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按照“合理布点、全面覆盖、平时自营、急时应急”的原则，坚持树立以人民为中心的思想，主要领导亲自督办，对粮油应急供应网点选址布局、签订协议等工作亲自把关，完善长效机制，落实规划举措，确保形成布局合理、设施完备、运转高效、保障有力和应急加工、储运、供应各环节协调配套的粮油应急供应网络体系。</w:t>
      </w:r>
    </w:p>
    <w:p>
      <w:pPr>
        <w:pStyle w:val="3"/>
      </w:pPr>
      <w:bookmarkStart w:id="30" w:name="_Toc116564490"/>
      <w:r>
        <w:rPr>
          <w:rFonts w:hint="eastAsia"/>
        </w:rPr>
        <w:t>第二节 政策保障</w:t>
      </w:r>
      <w:bookmarkEnd w:id="30"/>
    </w:p>
    <w:p>
      <w:pPr>
        <w:ind w:firstLine="60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充分利用国家及省市在促进“粮安工程”等方面的优惠政策，积极争取政策支持，加大资金扶持力度，加强现有粮油网点改造的提升，对粮食应急供应网点给与定额补贴，激发市场活力。</w:t>
      </w:r>
      <w:r>
        <w:rPr>
          <w:color w:val="000000" w:themeColor="text1"/>
          <w14:textFill>
            <w14:solidFill>
              <w14:schemeClr w14:val="tx1"/>
            </w14:solidFill>
          </w14:textFill>
        </w:rPr>
        <w:t>进一步完善粮食流通体制改革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努力构筑我市粮食安全网络，完善粮食应急预案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不断增强应急处置能力，做到准备在前、防患在先、决策当前、</w:t>
      </w:r>
      <w:r>
        <w:rPr>
          <w:rFonts w:hint="eastAsia"/>
          <w:color w:val="000000" w:themeColor="text1"/>
          <w14:textFill>
            <w14:solidFill>
              <w14:schemeClr w14:val="tx1"/>
            </w14:solidFill>
          </w14:textFill>
        </w:rPr>
        <w:t>防患未然，</w:t>
      </w:r>
      <w:r>
        <w:rPr>
          <w:color w:val="000000" w:themeColor="text1"/>
          <w14:textFill>
            <w14:solidFill>
              <w14:schemeClr w14:val="tx1"/>
            </w14:solidFill>
          </w14:textFill>
        </w:rPr>
        <w:t>确保我市粮食安全。</w:t>
      </w:r>
      <w:bookmarkStart w:id="35" w:name="_GoBack"/>
      <w:bookmarkEnd w:id="35"/>
    </w:p>
    <w:p>
      <w:pPr>
        <w:pStyle w:val="3"/>
      </w:pPr>
      <w:bookmarkStart w:id="31" w:name="_Toc116564491"/>
      <w:r>
        <w:rPr>
          <w:rFonts w:hint="eastAsia"/>
        </w:rPr>
        <w:t xml:space="preserve">第三节 </w:t>
      </w:r>
      <w:r>
        <w:t>管理</w:t>
      </w:r>
      <w:r>
        <w:rPr>
          <w:rFonts w:hint="eastAsia"/>
        </w:rPr>
        <w:t>保障</w:t>
      </w:r>
      <w:bookmarkEnd w:id="31"/>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各区县（开发区）与粮油应急供应网点明确双方的权利、责任和义务，建立长期稳定的合作关系，确保应急情况下各项工作有效衔接。建立应急供应网点台账，动态掌握粮食应急企业的运行情况，并根据企业经营情况及时进行补充和完善，确保网点能充分发挥应急供应效用，稳定应急时期粮食供应秩序。</w:t>
      </w:r>
      <w:r>
        <w:rPr>
          <w:color w:val="000000" w:themeColor="text1"/>
          <w14:textFill>
            <w14:solidFill>
              <w14:schemeClr w14:val="tx1"/>
            </w14:solidFill>
          </w14:textFill>
        </w:rPr>
        <w:t>关注粮食购销和价格变化趋势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针对当前粮食消费逐年增加、供应范围扩大的实际情况，加强对粮食市场动态监测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掌握苗头，及时发出预警和通报。</w:t>
      </w:r>
    </w:p>
    <w:p>
      <w:pPr>
        <w:pStyle w:val="3"/>
      </w:pPr>
      <w:bookmarkStart w:id="32" w:name="_Toc116564492"/>
      <w:r>
        <w:rPr>
          <w:rFonts w:hint="eastAsia"/>
        </w:rPr>
        <w:t>第四节 监督保障</w:t>
      </w:r>
      <w:bookmarkEnd w:id="32"/>
    </w:p>
    <w:p>
      <w:pPr>
        <w:ind w:firstLine="640"/>
        <w:rPr>
          <w:color w:val="000000" w:themeColor="text1"/>
          <w14:textFill>
            <w14:solidFill>
              <w14:schemeClr w14:val="tx1"/>
            </w14:solidFill>
          </w14:textFill>
        </w:rPr>
      </w:pPr>
      <w:r>
        <w:rPr>
          <w:color w:val="000000" w:themeColor="text1"/>
          <w14:textFill>
            <w14:solidFill>
              <w14:schemeClr w14:val="tx1"/>
            </w14:solidFill>
          </w14:textFill>
        </w:rPr>
        <w:t>抓好社会粮食统计与市场粮食执法工作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整合市场粮食信息资源，建立粮情动态数据库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加强对粮食安全指数研究和行情实时分析，为政府宏观调控、应急管理、科学决策提供依据。</w:t>
      </w:r>
      <w:r>
        <w:rPr>
          <w:rFonts w:hint="eastAsia"/>
          <w:color w:val="000000" w:themeColor="text1"/>
          <w14:textFill>
            <w14:solidFill>
              <w14:schemeClr w14:val="tx1"/>
            </w14:solidFill>
          </w14:textFill>
        </w:rPr>
        <w:t>每年开展粮食应急供应网点核查，调整和剔除布局不合理和经营不良的网点，在稳定网点总量的前提下，按照合理布局、择优选取的原则，新增经营状况良好的大中型超市、粮油经营店作为粮食应急供应网点，不断优化粮食应急供应网点的布局，进一步提升全市粮食应急供应保障能力。</w:t>
      </w:r>
    </w:p>
    <w:p>
      <w:pPr>
        <w:ind w:firstLine="60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pPr>
      <w:bookmarkStart w:id="33" w:name="_Toc116564493"/>
      <w:r>
        <w:rPr>
          <w:rFonts w:hint="eastAsia"/>
        </w:rPr>
        <w:t>附件1</w:t>
      </w:r>
      <w:r>
        <w:t xml:space="preserve">  </w:t>
      </w:r>
      <w:r>
        <w:rPr>
          <w:rFonts w:hint="eastAsia"/>
        </w:rPr>
        <w:t>达州市粮油应急供应网点测算表</w:t>
      </w:r>
      <w:bookmarkEnd w:id="33"/>
    </w:p>
    <w:tbl>
      <w:tblPr>
        <w:tblStyle w:val="11"/>
        <w:tblW w:w="5464" w:type="pct"/>
        <w:tblInd w:w="0" w:type="dxa"/>
        <w:tblLayout w:type="autofit"/>
        <w:tblCellMar>
          <w:top w:w="0" w:type="dxa"/>
          <w:left w:w="108" w:type="dxa"/>
          <w:bottom w:w="0" w:type="dxa"/>
          <w:right w:w="108" w:type="dxa"/>
        </w:tblCellMar>
      </w:tblPr>
      <w:tblGrid>
        <w:gridCol w:w="1239"/>
        <w:gridCol w:w="1239"/>
        <w:gridCol w:w="1240"/>
        <w:gridCol w:w="1227"/>
        <w:gridCol w:w="1167"/>
        <w:gridCol w:w="1542"/>
        <w:gridCol w:w="1665"/>
      </w:tblGrid>
      <w:tr>
        <w:tblPrEx>
          <w:tblCellMar>
            <w:top w:w="0" w:type="dxa"/>
            <w:left w:w="108" w:type="dxa"/>
            <w:bottom w:w="0" w:type="dxa"/>
            <w:right w:w="108" w:type="dxa"/>
          </w:tblCellMar>
        </w:tblPrEx>
        <w:trPr>
          <w:trHeight w:val="660" w:hRule="atLeast"/>
        </w:trPr>
        <w:tc>
          <w:tcPr>
            <w:tcW w:w="665" w:type="pct"/>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adjustRightInd/>
              <w:snapToGrid/>
              <w:spacing w:line="240" w:lineRule="auto"/>
              <w:ind w:firstLine="0" w:firstLineChars="0"/>
              <w:jc w:val="center"/>
              <w:rPr>
                <w:rFonts w:ascii="宋体" w:hAnsi="宋体" w:eastAsia="宋体" w:cs="宋体"/>
                <w:b/>
                <w:bCs/>
                <w:color w:val="333333"/>
                <w:kern w:val="0"/>
                <w:sz w:val="21"/>
                <w:szCs w:val="21"/>
              </w:rPr>
            </w:pPr>
            <w:r>
              <w:rPr>
                <w:rFonts w:hint="eastAsia" w:ascii="宋体" w:hAnsi="宋体" w:eastAsia="宋体" w:cs="宋体"/>
                <w:b/>
                <w:bCs/>
                <w:color w:val="333333"/>
                <w:kern w:val="0"/>
                <w:sz w:val="21"/>
                <w:szCs w:val="21"/>
              </w:rPr>
              <w:t>县区</w:t>
            </w:r>
          </w:p>
        </w:tc>
        <w:tc>
          <w:tcPr>
            <w:tcW w:w="665" w:type="pct"/>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adjustRightInd/>
              <w:snapToGrid/>
              <w:spacing w:line="240" w:lineRule="auto"/>
              <w:ind w:firstLine="0" w:firstLineChars="0"/>
              <w:jc w:val="center"/>
              <w:rPr>
                <w:rFonts w:ascii="宋体" w:hAnsi="宋体" w:eastAsia="宋体" w:cs="宋体"/>
                <w:b/>
                <w:bCs/>
                <w:color w:val="333333"/>
                <w:kern w:val="0"/>
                <w:sz w:val="21"/>
                <w:szCs w:val="21"/>
              </w:rPr>
            </w:pPr>
            <w:r>
              <w:rPr>
                <w:rFonts w:hint="eastAsia" w:ascii="宋体" w:hAnsi="宋体" w:eastAsia="宋体" w:cs="宋体"/>
                <w:b/>
                <w:bCs/>
                <w:color w:val="333333"/>
                <w:kern w:val="0"/>
                <w:sz w:val="21"/>
                <w:szCs w:val="21"/>
              </w:rPr>
              <w:t>人口</w:t>
            </w:r>
          </w:p>
          <w:p>
            <w:pPr>
              <w:widowControl/>
              <w:adjustRightInd/>
              <w:snapToGrid/>
              <w:spacing w:line="240" w:lineRule="auto"/>
              <w:ind w:firstLine="0" w:firstLineChars="0"/>
              <w:jc w:val="center"/>
              <w:rPr>
                <w:rFonts w:ascii="宋体" w:hAnsi="宋体" w:eastAsia="宋体" w:cs="宋体"/>
                <w:b/>
                <w:bCs/>
                <w:color w:val="333333"/>
                <w:kern w:val="0"/>
                <w:sz w:val="21"/>
                <w:szCs w:val="21"/>
              </w:rPr>
            </w:pPr>
            <w:r>
              <w:rPr>
                <w:rFonts w:hint="eastAsia" w:ascii="宋体" w:hAnsi="宋体" w:eastAsia="宋体" w:cs="宋体"/>
                <w:b/>
                <w:bCs/>
                <w:color w:val="333333"/>
                <w:kern w:val="0"/>
                <w:sz w:val="21"/>
                <w:szCs w:val="21"/>
              </w:rPr>
              <w:t>（万人）</w:t>
            </w:r>
          </w:p>
        </w:tc>
        <w:tc>
          <w:tcPr>
            <w:tcW w:w="665" w:type="pct"/>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adjustRightInd/>
              <w:snapToGrid/>
              <w:spacing w:line="240" w:lineRule="auto"/>
              <w:ind w:firstLine="0" w:firstLineChars="0"/>
              <w:jc w:val="center"/>
              <w:rPr>
                <w:rFonts w:ascii="宋体" w:hAnsi="宋体" w:eastAsia="宋体" w:cs="宋体"/>
                <w:b/>
                <w:bCs/>
                <w:color w:val="333333"/>
                <w:kern w:val="0"/>
                <w:sz w:val="21"/>
                <w:szCs w:val="21"/>
              </w:rPr>
            </w:pPr>
            <w:r>
              <w:rPr>
                <w:rFonts w:hint="eastAsia" w:ascii="宋体" w:hAnsi="宋体" w:eastAsia="宋体" w:cs="宋体"/>
                <w:b/>
                <w:bCs/>
                <w:color w:val="333333"/>
                <w:kern w:val="0"/>
                <w:sz w:val="21"/>
                <w:szCs w:val="21"/>
              </w:rPr>
              <w:t>乡镇级区划（个）</w:t>
            </w:r>
          </w:p>
        </w:tc>
        <w:tc>
          <w:tcPr>
            <w:tcW w:w="2110" w:type="pct"/>
            <w:gridSpan w:val="3"/>
            <w:tcBorders>
              <w:top w:val="single" w:color="auto" w:sz="8" w:space="0"/>
              <w:left w:val="nil"/>
              <w:bottom w:val="single" w:color="auto" w:sz="8" w:space="0"/>
              <w:right w:val="single" w:color="000000" w:sz="8" w:space="0"/>
            </w:tcBorders>
            <w:shd w:val="clear" w:color="000000" w:fill="FFFFFF"/>
            <w:vAlign w:val="center"/>
          </w:tcPr>
          <w:p>
            <w:pPr>
              <w:widowControl/>
              <w:adjustRightInd/>
              <w:snapToGrid/>
              <w:spacing w:line="240" w:lineRule="auto"/>
              <w:ind w:firstLine="0" w:firstLineChars="0"/>
              <w:jc w:val="center"/>
              <w:rPr>
                <w:rFonts w:ascii="宋体" w:hAnsi="宋体" w:eastAsia="宋体" w:cs="宋体"/>
                <w:b/>
                <w:bCs/>
                <w:color w:val="333333"/>
                <w:kern w:val="0"/>
                <w:sz w:val="21"/>
                <w:szCs w:val="21"/>
              </w:rPr>
            </w:pPr>
            <w:r>
              <w:rPr>
                <w:rFonts w:hint="eastAsia" w:ascii="宋体" w:hAnsi="宋体" w:eastAsia="宋体" w:cs="宋体"/>
                <w:b/>
                <w:bCs/>
                <w:color w:val="333333"/>
                <w:kern w:val="0"/>
                <w:sz w:val="21"/>
                <w:szCs w:val="21"/>
              </w:rPr>
              <w:t>其中</w:t>
            </w:r>
          </w:p>
        </w:tc>
        <w:tc>
          <w:tcPr>
            <w:tcW w:w="893" w:type="pct"/>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adjustRightInd/>
              <w:snapToGrid/>
              <w:spacing w:line="240" w:lineRule="auto"/>
              <w:ind w:firstLine="0" w:firstLineChars="0"/>
              <w:jc w:val="center"/>
              <w:rPr>
                <w:rFonts w:ascii="宋体" w:hAnsi="宋体" w:eastAsia="宋体" w:cs="宋体"/>
                <w:b/>
                <w:bCs/>
                <w:color w:val="333333"/>
                <w:kern w:val="0"/>
                <w:sz w:val="21"/>
                <w:szCs w:val="21"/>
              </w:rPr>
            </w:pPr>
            <w:r>
              <w:rPr>
                <w:rFonts w:hint="eastAsia" w:ascii="宋体" w:hAnsi="宋体" w:eastAsia="宋体" w:cs="宋体"/>
                <w:b/>
                <w:bCs/>
                <w:color w:val="333333"/>
                <w:kern w:val="0"/>
                <w:sz w:val="21"/>
                <w:szCs w:val="21"/>
              </w:rPr>
              <w:t>应急供应网点（个）</w:t>
            </w:r>
          </w:p>
        </w:tc>
      </w:tr>
      <w:tr>
        <w:tblPrEx>
          <w:tblCellMar>
            <w:top w:w="0" w:type="dxa"/>
            <w:left w:w="108" w:type="dxa"/>
            <w:bottom w:w="0" w:type="dxa"/>
            <w:right w:w="108" w:type="dxa"/>
          </w:tblCellMar>
        </w:tblPrEx>
        <w:trPr>
          <w:trHeight w:val="660" w:hRule="atLeast"/>
        </w:trPr>
        <w:tc>
          <w:tcPr>
            <w:tcW w:w="665" w:type="pct"/>
            <w:vMerge w:val="continue"/>
            <w:tcBorders>
              <w:top w:val="single" w:color="auto" w:sz="8" w:space="0"/>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c>
          <w:tcPr>
            <w:tcW w:w="665" w:type="pct"/>
            <w:vMerge w:val="continue"/>
            <w:tcBorders>
              <w:top w:val="single" w:color="auto" w:sz="8" w:space="0"/>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c>
          <w:tcPr>
            <w:tcW w:w="665" w:type="pct"/>
            <w:vMerge w:val="continue"/>
            <w:tcBorders>
              <w:top w:val="single" w:color="auto" w:sz="8" w:space="0"/>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c>
          <w:tcPr>
            <w:tcW w:w="658"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adjustRightInd/>
              <w:snapToGrid/>
              <w:spacing w:line="240" w:lineRule="auto"/>
              <w:ind w:firstLine="0" w:firstLineChars="0"/>
              <w:jc w:val="center"/>
              <w:rPr>
                <w:rFonts w:ascii="宋体" w:hAnsi="宋体" w:eastAsia="宋体" w:cs="宋体"/>
                <w:b/>
                <w:bCs/>
                <w:color w:val="333333"/>
                <w:kern w:val="0"/>
                <w:sz w:val="21"/>
                <w:szCs w:val="21"/>
              </w:rPr>
            </w:pPr>
            <w:r>
              <w:rPr>
                <w:rFonts w:hint="eastAsia" w:ascii="宋体" w:hAnsi="宋体" w:eastAsia="宋体" w:cs="宋体"/>
                <w:b/>
                <w:bCs/>
                <w:color w:val="333333"/>
                <w:kern w:val="0"/>
                <w:sz w:val="21"/>
                <w:szCs w:val="21"/>
              </w:rPr>
              <w:t>乡（个）</w:t>
            </w:r>
          </w:p>
        </w:tc>
        <w:tc>
          <w:tcPr>
            <w:tcW w:w="626"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adjustRightInd/>
              <w:snapToGrid/>
              <w:spacing w:line="240" w:lineRule="auto"/>
              <w:ind w:firstLine="0" w:firstLineChars="0"/>
              <w:jc w:val="center"/>
              <w:rPr>
                <w:rFonts w:ascii="宋体" w:hAnsi="宋体" w:eastAsia="宋体" w:cs="宋体"/>
                <w:b/>
                <w:bCs/>
                <w:color w:val="333333"/>
                <w:kern w:val="0"/>
                <w:sz w:val="21"/>
                <w:szCs w:val="21"/>
              </w:rPr>
            </w:pPr>
            <w:r>
              <w:rPr>
                <w:rFonts w:hint="eastAsia" w:ascii="宋体" w:hAnsi="宋体" w:eastAsia="宋体" w:cs="宋体"/>
                <w:b/>
                <w:bCs/>
                <w:color w:val="333333"/>
                <w:kern w:val="0"/>
                <w:sz w:val="21"/>
                <w:szCs w:val="21"/>
              </w:rPr>
              <w:t>镇（个）</w:t>
            </w:r>
          </w:p>
        </w:tc>
        <w:tc>
          <w:tcPr>
            <w:tcW w:w="827"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adjustRightInd/>
              <w:snapToGrid/>
              <w:spacing w:line="240" w:lineRule="auto"/>
              <w:ind w:firstLine="0" w:firstLineChars="0"/>
              <w:jc w:val="center"/>
              <w:rPr>
                <w:rFonts w:ascii="宋体" w:hAnsi="宋体" w:eastAsia="宋体" w:cs="宋体"/>
                <w:b/>
                <w:bCs/>
                <w:color w:val="333333"/>
                <w:kern w:val="0"/>
                <w:sz w:val="21"/>
                <w:szCs w:val="21"/>
              </w:rPr>
            </w:pPr>
            <w:r>
              <w:rPr>
                <w:rFonts w:hint="eastAsia" w:ascii="宋体" w:hAnsi="宋体" w:eastAsia="宋体" w:cs="宋体"/>
                <w:b/>
                <w:bCs/>
                <w:color w:val="333333"/>
                <w:kern w:val="0"/>
                <w:sz w:val="21"/>
                <w:szCs w:val="21"/>
              </w:rPr>
              <w:t>街道办事处（个）</w:t>
            </w:r>
          </w:p>
        </w:tc>
        <w:tc>
          <w:tcPr>
            <w:tcW w:w="893" w:type="pct"/>
            <w:vMerge w:val="continue"/>
            <w:tcBorders>
              <w:top w:val="single" w:color="auto" w:sz="8" w:space="0"/>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r>
      <w:tr>
        <w:tblPrEx>
          <w:tblCellMar>
            <w:top w:w="0" w:type="dxa"/>
            <w:left w:w="108" w:type="dxa"/>
            <w:bottom w:w="0" w:type="dxa"/>
            <w:right w:w="108" w:type="dxa"/>
          </w:tblCellMar>
        </w:tblPrEx>
        <w:trPr>
          <w:trHeight w:val="660" w:hRule="atLeast"/>
        </w:trPr>
        <w:tc>
          <w:tcPr>
            <w:tcW w:w="665" w:type="pct"/>
            <w:vMerge w:val="continue"/>
            <w:tcBorders>
              <w:top w:val="single" w:color="auto" w:sz="8" w:space="0"/>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c>
          <w:tcPr>
            <w:tcW w:w="665" w:type="pct"/>
            <w:vMerge w:val="continue"/>
            <w:tcBorders>
              <w:top w:val="single" w:color="auto" w:sz="8" w:space="0"/>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c>
          <w:tcPr>
            <w:tcW w:w="665" w:type="pct"/>
            <w:vMerge w:val="continue"/>
            <w:tcBorders>
              <w:top w:val="single" w:color="auto" w:sz="8" w:space="0"/>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c>
          <w:tcPr>
            <w:tcW w:w="658" w:type="pct"/>
            <w:vMerge w:val="continue"/>
            <w:tcBorders>
              <w:top w:val="nil"/>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c>
          <w:tcPr>
            <w:tcW w:w="626" w:type="pct"/>
            <w:vMerge w:val="continue"/>
            <w:tcBorders>
              <w:top w:val="nil"/>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c>
          <w:tcPr>
            <w:tcW w:w="827" w:type="pct"/>
            <w:vMerge w:val="continue"/>
            <w:tcBorders>
              <w:top w:val="nil"/>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c>
          <w:tcPr>
            <w:tcW w:w="893" w:type="pct"/>
            <w:vMerge w:val="continue"/>
            <w:tcBorders>
              <w:top w:val="single" w:color="auto" w:sz="8" w:space="0"/>
              <w:left w:val="single" w:color="auto" w:sz="8" w:space="0"/>
              <w:bottom w:val="single" w:color="000000" w:sz="8" w:space="0"/>
              <w:right w:val="single" w:color="auto" w:sz="8" w:space="0"/>
            </w:tcBorders>
            <w:vAlign w:val="center"/>
          </w:tcPr>
          <w:p>
            <w:pPr>
              <w:widowControl/>
              <w:adjustRightInd/>
              <w:snapToGrid/>
              <w:spacing w:line="240" w:lineRule="auto"/>
              <w:ind w:firstLine="0" w:firstLineChars="0"/>
              <w:jc w:val="left"/>
              <w:rPr>
                <w:rFonts w:ascii="宋体" w:hAnsi="宋体" w:eastAsia="宋体" w:cs="宋体"/>
                <w:b/>
                <w:bCs/>
                <w:color w:val="333333"/>
                <w:kern w:val="0"/>
                <w:sz w:val="21"/>
                <w:szCs w:val="21"/>
              </w:rPr>
            </w:pPr>
          </w:p>
        </w:tc>
      </w:tr>
      <w:tr>
        <w:tblPrEx>
          <w:tblCellMar>
            <w:top w:w="0" w:type="dxa"/>
            <w:left w:w="108" w:type="dxa"/>
            <w:bottom w:w="0" w:type="dxa"/>
            <w:right w:w="108" w:type="dxa"/>
          </w:tblCellMar>
        </w:tblPrEx>
        <w:trPr>
          <w:trHeight w:val="66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宣汉县</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95.1</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658"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626"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827"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93"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45</w:t>
            </w:r>
          </w:p>
        </w:tc>
      </w:tr>
      <w:tr>
        <w:tblPrEx>
          <w:tblCellMar>
            <w:top w:w="0" w:type="dxa"/>
            <w:left w:w="108" w:type="dxa"/>
            <w:bottom w:w="0" w:type="dxa"/>
            <w:right w:w="108" w:type="dxa"/>
          </w:tblCellMar>
        </w:tblPrEx>
        <w:trPr>
          <w:trHeight w:val="66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渠县</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91.75</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658"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626"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827"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93"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tblPrEx>
          <w:tblCellMar>
            <w:top w:w="0" w:type="dxa"/>
            <w:left w:w="108" w:type="dxa"/>
            <w:bottom w:w="0" w:type="dxa"/>
            <w:right w:w="108" w:type="dxa"/>
          </w:tblCellMar>
        </w:tblPrEx>
        <w:trPr>
          <w:trHeight w:val="66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通川区</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90.57</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658"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626"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7"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893"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22</w:t>
            </w:r>
          </w:p>
        </w:tc>
      </w:tr>
      <w:tr>
        <w:tblPrEx>
          <w:tblCellMar>
            <w:top w:w="0" w:type="dxa"/>
            <w:left w:w="108" w:type="dxa"/>
            <w:bottom w:w="0" w:type="dxa"/>
            <w:right w:w="108" w:type="dxa"/>
          </w:tblCellMar>
        </w:tblPrEx>
        <w:trPr>
          <w:trHeight w:val="66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达川区</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89.9</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658"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26"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827"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893"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24</w:t>
            </w:r>
          </w:p>
        </w:tc>
      </w:tr>
      <w:tr>
        <w:tblPrEx>
          <w:tblCellMar>
            <w:top w:w="0" w:type="dxa"/>
            <w:left w:w="108" w:type="dxa"/>
            <w:bottom w:w="0" w:type="dxa"/>
            <w:right w:w="108" w:type="dxa"/>
          </w:tblCellMar>
        </w:tblPrEx>
        <w:trPr>
          <w:trHeight w:val="66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大竹县</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83.85</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658"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26"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827"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93"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34</w:t>
            </w:r>
          </w:p>
        </w:tc>
      </w:tr>
      <w:tr>
        <w:tblPrEx>
          <w:tblCellMar>
            <w:top w:w="0" w:type="dxa"/>
            <w:left w:w="108" w:type="dxa"/>
            <w:bottom w:w="0" w:type="dxa"/>
            <w:right w:w="108" w:type="dxa"/>
          </w:tblCellMar>
        </w:tblPrEx>
        <w:trPr>
          <w:trHeight w:val="66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开江县</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41.25</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658"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26"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827"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93"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21</w:t>
            </w:r>
          </w:p>
        </w:tc>
      </w:tr>
      <w:tr>
        <w:tblPrEx>
          <w:tblCellMar>
            <w:top w:w="0" w:type="dxa"/>
            <w:left w:w="108" w:type="dxa"/>
            <w:bottom w:w="0" w:type="dxa"/>
            <w:right w:w="108" w:type="dxa"/>
          </w:tblCellMar>
        </w:tblPrEx>
        <w:trPr>
          <w:trHeight w:val="66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万源市</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40.67</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658"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26"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827"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93"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35</w:t>
            </w:r>
          </w:p>
        </w:tc>
      </w:tr>
      <w:tr>
        <w:tblPrEx>
          <w:tblCellMar>
            <w:top w:w="0" w:type="dxa"/>
            <w:left w:w="108" w:type="dxa"/>
            <w:bottom w:w="0" w:type="dxa"/>
            <w:right w:w="108" w:type="dxa"/>
          </w:tblCellMar>
        </w:tblPrEx>
        <w:trPr>
          <w:trHeight w:val="66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总计</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537</w:t>
            </w:r>
          </w:p>
        </w:tc>
        <w:tc>
          <w:tcPr>
            <w:tcW w:w="665"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658"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626"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138</w:t>
            </w:r>
          </w:p>
        </w:tc>
        <w:tc>
          <w:tcPr>
            <w:tcW w:w="827"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893" w:type="pct"/>
            <w:tcBorders>
              <w:top w:val="nil"/>
              <w:left w:val="nil"/>
              <w:bottom w:val="single" w:color="auto" w:sz="8" w:space="0"/>
              <w:right w:val="single" w:color="auto" w:sz="8"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221</w:t>
            </w:r>
          </w:p>
        </w:tc>
      </w:tr>
    </w:tbl>
    <w:p>
      <w:pPr>
        <w:widowControl/>
        <w:shd w:val="clear" w:color="auto" w:fill="FFFFFF"/>
        <w:snapToGrid/>
        <w:spacing w:line="240" w:lineRule="auto"/>
        <w:ind w:firstLine="420"/>
        <w:rPr>
          <w:rFonts w:ascii="宋体" w:hAnsi="宋体" w:eastAsia="宋体" w:cs="Arial"/>
          <w:color w:val="333333"/>
          <w:kern w:val="0"/>
          <w:sz w:val="21"/>
          <w:szCs w:val="21"/>
        </w:rPr>
      </w:pPr>
    </w:p>
    <w:p>
      <w:pPr>
        <w:rPr>
          <w:rFonts w:hint="eastAsia"/>
        </w:rPr>
      </w:pPr>
      <w:bookmarkStart w:id="34" w:name="_Toc116564494"/>
      <w:r>
        <w:rPr>
          <w:rFonts w:hint="eastAsia"/>
        </w:rPr>
        <w:br w:type="page"/>
      </w:r>
    </w:p>
    <w:p>
      <w:pPr>
        <w:pStyle w:val="2"/>
      </w:pPr>
      <w:r>
        <w:rPr>
          <w:rFonts w:hint="eastAsia"/>
        </w:rPr>
        <w:t>附件2</w:t>
      </w:r>
      <w:r>
        <w:t xml:space="preserve">  </w:t>
      </w:r>
      <w:r>
        <w:rPr>
          <w:rFonts w:hint="eastAsia"/>
        </w:rPr>
        <w:t>粮油应急供应网点参考标准</w:t>
      </w:r>
      <w:bookmarkEnd w:id="34"/>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（一）粮食应急供应网点</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1．以粮油产品和居民日用消费品批零为主，日常经营运转正常、发展良好。</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2．严格执行国家有关法律、法规和政策，依法、诚信经营，近2年内没有发生过质量安全问题、损害消费者合法权益问题和其它违法、违规问题。</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3．营业场所应位于交通便利的位置，并与有毒有害场所以及其他污染源保持一定距离。</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4．营业面积和仓储能力能满足供应需要，建筑结构稳固，具备与所经营商品和经营规模相匹配的陈列货架或玻璃柜台。</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5．营业场所进行简洁装修，店内通风、明亮，有统一规范的门头标示。</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6．使用检定合格、未超过检定周期的计量器具，配备消防安全设施和设备，保证消防安全设施齐备、完好、有效，有充分满足经营需要的信息管理系统及通讯等设施、设备。有避免散装粮油产品受到污染的防护措施。</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7．执行国家价格管理政策，所有商品都明码标价。</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8．购进粮油商品时应取得正规销售发票，建立粮油购销台账，按照粮食行政管理部门的要求编制报送统计、会计报表，建立并实行粮食商品购销可追溯制度。</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粮食应急供应网点一般可分为城镇连锁中心（骨干）店应急点、社区或乡村经销店应急点、商超柜台应急点，各地可根据不同类别，设定不同的标准要求。</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（二）粮食应急加工骨干企业</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严格执行有关法律、法规和政策规定，依法、诚信经营，树立良好信誉。经营范围要依法进行工商登记，并按要求规范经营管理。严格执行质量、卫生管理规定，不生产和经营假冒伪劣商品，确保经营商品质量和食用安全。</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已纳入粮食流通和工业统计范围，取得质量技术监督部门颁发的《食品生产许可证》、并加印或加贴“食品生产许可证编号和标志”。按期编制真实、完整的会计、统计报表，并按照粮食行政管理部门的要求及时上报。</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3．产品质量指标和卫生指标全部符合国家标准或行业标准或经卫生部门备案的企业标准，不得违反规定使用添加剂，不含任何违禁物质，产品质量稳定，三年内未发生过重大质量事故，所生产的各种粮油产品在国家及省、市有关部门粮油质量检测中均未出现产品质量不合格问题。</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4．产品标签符合《食品安全法》、国家质量监督检验检疫总局《食品标识管理规定》及GB7718—2011《预包装食品标签通则》，使用食品添加剂的必须在产品标签中标识。</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5．企业正式投产1年以上，生产经营正常，已获得国家工商总局颁发的商标注册证书（不含已受理或已公示、未获得注册证书者）。</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6．企业具有一定生产能力。日设计生产能力达到一定规模，具体要求由各地根据本地实际情况制定。</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7．已建立完整的质量保证体系，具备生产合格产品所需的工艺设备、检化验仪器、质量内控标准及各项管理制度。</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8．企业生产环境符合有关规范要求，并与有毒有害场所以及其他污染源保持一定距离，消防安全设施完备，排污符合国家环保要求。</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9．企业经营业绩和信誉良好，近3年内无违法经营行为。</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10．从业人员具备岗位所需的国家职业资格。</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（三）粮食应急配送中心</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严格执行国家有关法律、法规和政策，依法、诚信经营，树立良好信誉。经营范围要依法进行工商登记，并按要求规范经营管理。严格执行质量、卫生管理规定，不经营假冒伪劣商品，确保经营商品质量和食用安全。</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2．仓库符合国家分类商品的仓储条件，仓库使用面积、营业用房面积和办公用房面积能满足实际需要，建筑结构稳固。</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3．营业场所进行简洁装修，店内通风、明亮，有统一规范的门头标示。具备与所经营商品和经营规模相匹配的陈列货架或玻璃柜台。</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4．使用检定合格、未超过检定周期的计量器具，配备消防安全设施和设备，保证消防安全设施齐备、完好、有效，有满足经营需要的信息管理系统及通讯等设施、设备。</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5．有满足配送业务需要的厢式密闭运货车辆及停车场。有必要的。叉车和输送机械等装卸设备。</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6．执行国家价格管理政策，所有商品都明码标价。</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7．建立商品索证票制度和可追溯制度。经营的粮油产品必须是取得“Qs”认证企业生产的产品。要保留粮油供货者及粮油质量认可的有效证件。</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8．建立粮油购销台账，如实记录供货商、供货时间、规格、质量、数量和销售对象、时间、规格、数量等内容。按期编制真实、完整的统计、会计报表，并按照粮食行政管理部门的要求及时上报。</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9．建立不合格粮油商品退市制度和可追溯制度。对有关行政管理部门公布的不合格粮油产品，要立即停止销售，及时采取召回、追溯措施，并依法移送相关部门处理。</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10．有避免散装粮油产品受到污染的防护措施。</w:t>
      </w:r>
    </w:p>
    <w:p>
      <w:pPr>
        <w:ind w:firstLine="640"/>
        <w:rPr>
          <w:color w:val="000000" w:themeColor="text1"/>
          <w14:textFill>
            <w14:solidFill>
              <w14:schemeClr w14:val="tx1"/>
            </w14:solidFill>
          </w14:textFill>
        </w:rPr>
      </w:pPr>
    </w:p>
    <w:p>
      <w:pPr>
        <w:ind w:firstLine="640"/>
        <w:rPr>
          <w:color w:val="000000" w:themeColor="text1"/>
          <w14:textFill>
            <w14:solidFill>
              <w14:schemeClr w14:val="tx1"/>
            </w14:solidFill>
          </w14:textFill>
        </w:rPr>
      </w:pPr>
    </w:p>
    <w:sectPr>
      <w:pgSz w:w="11906" w:h="16838"/>
      <w:pgMar w:top="1440" w:right="1797" w:bottom="1440" w:left="1797" w:header="851" w:footer="992" w:gutter="0"/>
      <w:cols w:space="425"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等线">
    <w:altName w:val="仿宋_GB2312"/>
    <w:panose1 w:val="00000000000000000000"/>
    <w:charset w:val="00"/>
    <w:family w:val="auto"/>
    <w:pitch w:val="default"/>
    <w:sig w:usb0="00000000" w:usb1="00000000" w:usb2="00000000" w:usb3="00000000" w:csb0="00000000"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1863140"/>
    </w:sdtPr>
    <w:sdtContent>
      <w:p>
        <w:pPr>
          <w:pStyle w:val="7"/>
          <w:ind w:firstLine="360"/>
          <w:jc w:val="center"/>
        </w:pPr>
        <w:r>
          <w:fldChar w:fldCharType="begin"/>
        </w:r>
        <w:r>
          <w:instrText xml:space="preserve">PAGE   \* MERGEFORMAT</w:instrText>
        </w:r>
        <w:r>
          <w:fldChar w:fldCharType="separate"/>
        </w:r>
        <w:r>
          <w:rPr>
            <w:lang w:val="zh-CN"/>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ZTQwNTBjYTM3YjU0ZjUzMmEwZDkwOTUzZTk2MzgifQ=="/>
  </w:docVars>
  <w:rsids>
    <w:rsidRoot w:val="0041736E"/>
    <w:rsid w:val="00001FEB"/>
    <w:rsid w:val="00002295"/>
    <w:rsid w:val="00002A8F"/>
    <w:rsid w:val="000031FE"/>
    <w:rsid w:val="000066EB"/>
    <w:rsid w:val="0000692F"/>
    <w:rsid w:val="00007D2E"/>
    <w:rsid w:val="00010A02"/>
    <w:rsid w:val="00011FE9"/>
    <w:rsid w:val="00012FE2"/>
    <w:rsid w:val="000132B2"/>
    <w:rsid w:val="00015A30"/>
    <w:rsid w:val="00015CA8"/>
    <w:rsid w:val="00017BA9"/>
    <w:rsid w:val="0002331B"/>
    <w:rsid w:val="00025D16"/>
    <w:rsid w:val="00030BAF"/>
    <w:rsid w:val="0003263D"/>
    <w:rsid w:val="00033646"/>
    <w:rsid w:val="00035875"/>
    <w:rsid w:val="000369E2"/>
    <w:rsid w:val="00037431"/>
    <w:rsid w:val="000375A9"/>
    <w:rsid w:val="000407F4"/>
    <w:rsid w:val="00041FB6"/>
    <w:rsid w:val="000425B0"/>
    <w:rsid w:val="00043B7B"/>
    <w:rsid w:val="00044682"/>
    <w:rsid w:val="00047EB0"/>
    <w:rsid w:val="00050339"/>
    <w:rsid w:val="00050437"/>
    <w:rsid w:val="00050C69"/>
    <w:rsid w:val="0005179D"/>
    <w:rsid w:val="00051BB0"/>
    <w:rsid w:val="000532E2"/>
    <w:rsid w:val="00055F41"/>
    <w:rsid w:val="000566A5"/>
    <w:rsid w:val="00056FF7"/>
    <w:rsid w:val="000615AD"/>
    <w:rsid w:val="00061ADC"/>
    <w:rsid w:val="0007052C"/>
    <w:rsid w:val="00070734"/>
    <w:rsid w:val="00071640"/>
    <w:rsid w:val="000719C9"/>
    <w:rsid w:val="00074077"/>
    <w:rsid w:val="00074624"/>
    <w:rsid w:val="00074F80"/>
    <w:rsid w:val="000750E2"/>
    <w:rsid w:val="0007534A"/>
    <w:rsid w:val="00075EB4"/>
    <w:rsid w:val="00076242"/>
    <w:rsid w:val="00076701"/>
    <w:rsid w:val="00080873"/>
    <w:rsid w:val="000815B6"/>
    <w:rsid w:val="00081A31"/>
    <w:rsid w:val="00082D35"/>
    <w:rsid w:val="00083D6E"/>
    <w:rsid w:val="00086644"/>
    <w:rsid w:val="00086E57"/>
    <w:rsid w:val="00090148"/>
    <w:rsid w:val="00091283"/>
    <w:rsid w:val="00091643"/>
    <w:rsid w:val="0009198F"/>
    <w:rsid w:val="000951A9"/>
    <w:rsid w:val="000965AD"/>
    <w:rsid w:val="000973DA"/>
    <w:rsid w:val="0009769C"/>
    <w:rsid w:val="000A08E6"/>
    <w:rsid w:val="000A2890"/>
    <w:rsid w:val="000A485B"/>
    <w:rsid w:val="000A6AD7"/>
    <w:rsid w:val="000A710E"/>
    <w:rsid w:val="000A75A5"/>
    <w:rsid w:val="000B02C5"/>
    <w:rsid w:val="000B09A7"/>
    <w:rsid w:val="000B1445"/>
    <w:rsid w:val="000B1625"/>
    <w:rsid w:val="000B2ACF"/>
    <w:rsid w:val="000B2DFE"/>
    <w:rsid w:val="000B3287"/>
    <w:rsid w:val="000B3D4A"/>
    <w:rsid w:val="000B5073"/>
    <w:rsid w:val="000B52E0"/>
    <w:rsid w:val="000B6267"/>
    <w:rsid w:val="000C0C69"/>
    <w:rsid w:val="000C0DD6"/>
    <w:rsid w:val="000C1266"/>
    <w:rsid w:val="000C29E5"/>
    <w:rsid w:val="000C3115"/>
    <w:rsid w:val="000C363A"/>
    <w:rsid w:val="000C39C5"/>
    <w:rsid w:val="000C3AE3"/>
    <w:rsid w:val="000C629B"/>
    <w:rsid w:val="000C70A5"/>
    <w:rsid w:val="000C75EF"/>
    <w:rsid w:val="000D028C"/>
    <w:rsid w:val="000D1CF4"/>
    <w:rsid w:val="000D298A"/>
    <w:rsid w:val="000D2B9B"/>
    <w:rsid w:val="000D2ECE"/>
    <w:rsid w:val="000D33E2"/>
    <w:rsid w:val="000D346B"/>
    <w:rsid w:val="000D5358"/>
    <w:rsid w:val="000D5B32"/>
    <w:rsid w:val="000D7185"/>
    <w:rsid w:val="000D7593"/>
    <w:rsid w:val="000D7C6C"/>
    <w:rsid w:val="000E0B2C"/>
    <w:rsid w:val="000E0C70"/>
    <w:rsid w:val="000E15E5"/>
    <w:rsid w:val="000E1F47"/>
    <w:rsid w:val="000E2420"/>
    <w:rsid w:val="000E7374"/>
    <w:rsid w:val="000E73B3"/>
    <w:rsid w:val="000E794B"/>
    <w:rsid w:val="000F1205"/>
    <w:rsid w:val="000F2FA5"/>
    <w:rsid w:val="000F4E71"/>
    <w:rsid w:val="00100387"/>
    <w:rsid w:val="001004E8"/>
    <w:rsid w:val="00101475"/>
    <w:rsid w:val="00101569"/>
    <w:rsid w:val="00102F71"/>
    <w:rsid w:val="00103F00"/>
    <w:rsid w:val="001077E0"/>
    <w:rsid w:val="00110829"/>
    <w:rsid w:val="00110A1D"/>
    <w:rsid w:val="0011293D"/>
    <w:rsid w:val="00112ACC"/>
    <w:rsid w:val="00112C86"/>
    <w:rsid w:val="001141D5"/>
    <w:rsid w:val="0011438E"/>
    <w:rsid w:val="0011556E"/>
    <w:rsid w:val="00115D03"/>
    <w:rsid w:val="001175D7"/>
    <w:rsid w:val="00124424"/>
    <w:rsid w:val="001253AB"/>
    <w:rsid w:val="0012545D"/>
    <w:rsid w:val="001301EF"/>
    <w:rsid w:val="00132065"/>
    <w:rsid w:val="00132239"/>
    <w:rsid w:val="00132437"/>
    <w:rsid w:val="00132F3A"/>
    <w:rsid w:val="001335D9"/>
    <w:rsid w:val="00133785"/>
    <w:rsid w:val="00135D4C"/>
    <w:rsid w:val="00136454"/>
    <w:rsid w:val="00137333"/>
    <w:rsid w:val="001379EA"/>
    <w:rsid w:val="00141E90"/>
    <w:rsid w:val="00143CDA"/>
    <w:rsid w:val="00144D74"/>
    <w:rsid w:val="00144F5A"/>
    <w:rsid w:val="0014778E"/>
    <w:rsid w:val="00151084"/>
    <w:rsid w:val="00151733"/>
    <w:rsid w:val="00152EAD"/>
    <w:rsid w:val="00153391"/>
    <w:rsid w:val="00153DE9"/>
    <w:rsid w:val="001540F6"/>
    <w:rsid w:val="0015429E"/>
    <w:rsid w:val="001542E9"/>
    <w:rsid w:val="001543D0"/>
    <w:rsid w:val="00160780"/>
    <w:rsid w:val="00161E61"/>
    <w:rsid w:val="00162D8D"/>
    <w:rsid w:val="00163894"/>
    <w:rsid w:val="0016578D"/>
    <w:rsid w:val="00165864"/>
    <w:rsid w:val="00167ADA"/>
    <w:rsid w:val="00167DCE"/>
    <w:rsid w:val="00167E24"/>
    <w:rsid w:val="00170FB3"/>
    <w:rsid w:val="00171E43"/>
    <w:rsid w:val="001735FD"/>
    <w:rsid w:val="00176DDB"/>
    <w:rsid w:val="001803A7"/>
    <w:rsid w:val="00180B79"/>
    <w:rsid w:val="00181BDC"/>
    <w:rsid w:val="0018208C"/>
    <w:rsid w:val="001835D1"/>
    <w:rsid w:val="0018385D"/>
    <w:rsid w:val="001844A8"/>
    <w:rsid w:val="00184555"/>
    <w:rsid w:val="0018569D"/>
    <w:rsid w:val="00196AE3"/>
    <w:rsid w:val="00197515"/>
    <w:rsid w:val="001A0F6E"/>
    <w:rsid w:val="001A1801"/>
    <w:rsid w:val="001A4415"/>
    <w:rsid w:val="001A4EA6"/>
    <w:rsid w:val="001A5C5A"/>
    <w:rsid w:val="001A5F96"/>
    <w:rsid w:val="001A6D0B"/>
    <w:rsid w:val="001B12AA"/>
    <w:rsid w:val="001B1F4D"/>
    <w:rsid w:val="001B2624"/>
    <w:rsid w:val="001B4BB5"/>
    <w:rsid w:val="001C0452"/>
    <w:rsid w:val="001C1D39"/>
    <w:rsid w:val="001C30B8"/>
    <w:rsid w:val="001C346A"/>
    <w:rsid w:val="001C475D"/>
    <w:rsid w:val="001C49AD"/>
    <w:rsid w:val="001C532A"/>
    <w:rsid w:val="001C6E62"/>
    <w:rsid w:val="001D064A"/>
    <w:rsid w:val="001D2A56"/>
    <w:rsid w:val="001D342A"/>
    <w:rsid w:val="001D7C6E"/>
    <w:rsid w:val="001E0514"/>
    <w:rsid w:val="001E150E"/>
    <w:rsid w:val="001E170D"/>
    <w:rsid w:val="001E3333"/>
    <w:rsid w:val="001E33A1"/>
    <w:rsid w:val="001E3776"/>
    <w:rsid w:val="001E5D44"/>
    <w:rsid w:val="001E5DAD"/>
    <w:rsid w:val="001E605C"/>
    <w:rsid w:val="001E6C01"/>
    <w:rsid w:val="001F2825"/>
    <w:rsid w:val="001F28DF"/>
    <w:rsid w:val="001F3B33"/>
    <w:rsid w:val="001F6444"/>
    <w:rsid w:val="001F7E78"/>
    <w:rsid w:val="002007E2"/>
    <w:rsid w:val="00201928"/>
    <w:rsid w:val="00202330"/>
    <w:rsid w:val="00203308"/>
    <w:rsid w:val="00203407"/>
    <w:rsid w:val="00203FB8"/>
    <w:rsid w:val="0020415C"/>
    <w:rsid w:val="00205A0C"/>
    <w:rsid w:val="00205ABC"/>
    <w:rsid w:val="00205ADA"/>
    <w:rsid w:val="002120E8"/>
    <w:rsid w:val="00213FBC"/>
    <w:rsid w:val="002157E8"/>
    <w:rsid w:val="00215D23"/>
    <w:rsid w:val="00215E6D"/>
    <w:rsid w:val="00215FC8"/>
    <w:rsid w:val="00216572"/>
    <w:rsid w:val="00216CB2"/>
    <w:rsid w:val="00217E98"/>
    <w:rsid w:val="0022093B"/>
    <w:rsid w:val="00226A8C"/>
    <w:rsid w:val="00226BD1"/>
    <w:rsid w:val="00230614"/>
    <w:rsid w:val="00230F01"/>
    <w:rsid w:val="00232070"/>
    <w:rsid w:val="00232A63"/>
    <w:rsid w:val="00235E6B"/>
    <w:rsid w:val="00235FA9"/>
    <w:rsid w:val="00236554"/>
    <w:rsid w:val="002365D3"/>
    <w:rsid w:val="00237786"/>
    <w:rsid w:val="00240620"/>
    <w:rsid w:val="002414E5"/>
    <w:rsid w:val="00241566"/>
    <w:rsid w:val="00244638"/>
    <w:rsid w:val="002447C4"/>
    <w:rsid w:val="0024535D"/>
    <w:rsid w:val="00245FC4"/>
    <w:rsid w:val="00245FE2"/>
    <w:rsid w:val="00250581"/>
    <w:rsid w:val="00250611"/>
    <w:rsid w:val="002529AF"/>
    <w:rsid w:val="00253456"/>
    <w:rsid w:val="00254F99"/>
    <w:rsid w:val="00255C67"/>
    <w:rsid w:val="00255E92"/>
    <w:rsid w:val="00256122"/>
    <w:rsid w:val="0025722A"/>
    <w:rsid w:val="00262976"/>
    <w:rsid w:val="002635B8"/>
    <w:rsid w:val="00264F5C"/>
    <w:rsid w:val="00267CCD"/>
    <w:rsid w:val="0027207C"/>
    <w:rsid w:val="0027288C"/>
    <w:rsid w:val="0027304C"/>
    <w:rsid w:val="002746BD"/>
    <w:rsid w:val="00277993"/>
    <w:rsid w:val="00277C3A"/>
    <w:rsid w:val="002815FD"/>
    <w:rsid w:val="00281AE0"/>
    <w:rsid w:val="002822B0"/>
    <w:rsid w:val="00282794"/>
    <w:rsid w:val="002836C7"/>
    <w:rsid w:val="002843DD"/>
    <w:rsid w:val="00287289"/>
    <w:rsid w:val="00287C17"/>
    <w:rsid w:val="00287F62"/>
    <w:rsid w:val="00290C5A"/>
    <w:rsid w:val="00290DBB"/>
    <w:rsid w:val="002912B5"/>
    <w:rsid w:val="002912B7"/>
    <w:rsid w:val="00292AE7"/>
    <w:rsid w:val="00293BE5"/>
    <w:rsid w:val="0029493E"/>
    <w:rsid w:val="00294E2C"/>
    <w:rsid w:val="002951BC"/>
    <w:rsid w:val="00295422"/>
    <w:rsid w:val="00295519"/>
    <w:rsid w:val="00295B3B"/>
    <w:rsid w:val="00297FE9"/>
    <w:rsid w:val="002A1BB1"/>
    <w:rsid w:val="002A1D0B"/>
    <w:rsid w:val="002A221A"/>
    <w:rsid w:val="002A43EB"/>
    <w:rsid w:val="002A4C44"/>
    <w:rsid w:val="002A4F8F"/>
    <w:rsid w:val="002A603D"/>
    <w:rsid w:val="002A66B1"/>
    <w:rsid w:val="002B50D7"/>
    <w:rsid w:val="002B6BE3"/>
    <w:rsid w:val="002B7A6A"/>
    <w:rsid w:val="002B7AA7"/>
    <w:rsid w:val="002B7D89"/>
    <w:rsid w:val="002B7E93"/>
    <w:rsid w:val="002C00F4"/>
    <w:rsid w:val="002C01E5"/>
    <w:rsid w:val="002C0B7B"/>
    <w:rsid w:val="002C1388"/>
    <w:rsid w:val="002C2B7C"/>
    <w:rsid w:val="002C382C"/>
    <w:rsid w:val="002C636C"/>
    <w:rsid w:val="002C7CFC"/>
    <w:rsid w:val="002D5FAD"/>
    <w:rsid w:val="002E055E"/>
    <w:rsid w:val="002E14C4"/>
    <w:rsid w:val="002E1F14"/>
    <w:rsid w:val="002E271F"/>
    <w:rsid w:val="002E3E8A"/>
    <w:rsid w:val="002E4CEF"/>
    <w:rsid w:val="002E59A3"/>
    <w:rsid w:val="002E6C4A"/>
    <w:rsid w:val="002F0C66"/>
    <w:rsid w:val="002F0DE6"/>
    <w:rsid w:val="002F1CD2"/>
    <w:rsid w:val="002F3453"/>
    <w:rsid w:val="002F4793"/>
    <w:rsid w:val="002F7615"/>
    <w:rsid w:val="002F7A46"/>
    <w:rsid w:val="002F7D3C"/>
    <w:rsid w:val="0030162C"/>
    <w:rsid w:val="00302C2C"/>
    <w:rsid w:val="00302CB7"/>
    <w:rsid w:val="00302E79"/>
    <w:rsid w:val="00305BEB"/>
    <w:rsid w:val="00305E97"/>
    <w:rsid w:val="0031399A"/>
    <w:rsid w:val="00314AE1"/>
    <w:rsid w:val="00314B0A"/>
    <w:rsid w:val="0031525A"/>
    <w:rsid w:val="00315905"/>
    <w:rsid w:val="003164B8"/>
    <w:rsid w:val="00317FF5"/>
    <w:rsid w:val="00320B4A"/>
    <w:rsid w:val="00322099"/>
    <w:rsid w:val="003226C8"/>
    <w:rsid w:val="003257A8"/>
    <w:rsid w:val="00326E8C"/>
    <w:rsid w:val="00327F9F"/>
    <w:rsid w:val="003315A8"/>
    <w:rsid w:val="0033465F"/>
    <w:rsid w:val="003346DC"/>
    <w:rsid w:val="00335FCC"/>
    <w:rsid w:val="00340247"/>
    <w:rsid w:val="003415A0"/>
    <w:rsid w:val="00343FAE"/>
    <w:rsid w:val="0034482D"/>
    <w:rsid w:val="00352756"/>
    <w:rsid w:val="00354547"/>
    <w:rsid w:val="00354903"/>
    <w:rsid w:val="00356F9C"/>
    <w:rsid w:val="003614CA"/>
    <w:rsid w:val="00362A08"/>
    <w:rsid w:val="00362FF7"/>
    <w:rsid w:val="003657D9"/>
    <w:rsid w:val="00365CB5"/>
    <w:rsid w:val="0036752B"/>
    <w:rsid w:val="003719A5"/>
    <w:rsid w:val="00373EA5"/>
    <w:rsid w:val="00374684"/>
    <w:rsid w:val="003757EE"/>
    <w:rsid w:val="00375AFD"/>
    <w:rsid w:val="00376F15"/>
    <w:rsid w:val="003770DD"/>
    <w:rsid w:val="00380B19"/>
    <w:rsid w:val="00381013"/>
    <w:rsid w:val="003814E3"/>
    <w:rsid w:val="0038222D"/>
    <w:rsid w:val="00382354"/>
    <w:rsid w:val="00384D44"/>
    <w:rsid w:val="003867F2"/>
    <w:rsid w:val="0038682F"/>
    <w:rsid w:val="00386B72"/>
    <w:rsid w:val="003879B7"/>
    <w:rsid w:val="003901DC"/>
    <w:rsid w:val="00390731"/>
    <w:rsid w:val="00391EF4"/>
    <w:rsid w:val="003927CA"/>
    <w:rsid w:val="003951EC"/>
    <w:rsid w:val="003969EA"/>
    <w:rsid w:val="00397C52"/>
    <w:rsid w:val="003A0217"/>
    <w:rsid w:val="003A2633"/>
    <w:rsid w:val="003A4040"/>
    <w:rsid w:val="003A6F99"/>
    <w:rsid w:val="003A74B3"/>
    <w:rsid w:val="003A75F1"/>
    <w:rsid w:val="003B0921"/>
    <w:rsid w:val="003B19DC"/>
    <w:rsid w:val="003B1A35"/>
    <w:rsid w:val="003B458C"/>
    <w:rsid w:val="003B5EB7"/>
    <w:rsid w:val="003C05C9"/>
    <w:rsid w:val="003C0CD5"/>
    <w:rsid w:val="003C1E13"/>
    <w:rsid w:val="003C1F13"/>
    <w:rsid w:val="003C25FF"/>
    <w:rsid w:val="003C2763"/>
    <w:rsid w:val="003C3252"/>
    <w:rsid w:val="003C3B85"/>
    <w:rsid w:val="003C3BBD"/>
    <w:rsid w:val="003C52CE"/>
    <w:rsid w:val="003C65AC"/>
    <w:rsid w:val="003C765F"/>
    <w:rsid w:val="003D07FE"/>
    <w:rsid w:val="003D1354"/>
    <w:rsid w:val="003D4FBE"/>
    <w:rsid w:val="003D5650"/>
    <w:rsid w:val="003D65AF"/>
    <w:rsid w:val="003D6DD8"/>
    <w:rsid w:val="003D7B18"/>
    <w:rsid w:val="003E05EA"/>
    <w:rsid w:val="003E2537"/>
    <w:rsid w:val="003E2905"/>
    <w:rsid w:val="003E2EE4"/>
    <w:rsid w:val="003E41BE"/>
    <w:rsid w:val="003E6258"/>
    <w:rsid w:val="003E70FA"/>
    <w:rsid w:val="003E7626"/>
    <w:rsid w:val="003F0B42"/>
    <w:rsid w:val="003F24E7"/>
    <w:rsid w:val="003F2F18"/>
    <w:rsid w:val="003F2F48"/>
    <w:rsid w:val="003F42E6"/>
    <w:rsid w:val="003F510A"/>
    <w:rsid w:val="003F72D5"/>
    <w:rsid w:val="0040159E"/>
    <w:rsid w:val="00401E0A"/>
    <w:rsid w:val="00405181"/>
    <w:rsid w:val="004064AB"/>
    <w:rsid w:val="004065D3"/>
    <w:rsid w:val="0041057D"/>
    <w:rsid w:val="00410995"/>
    <w:rsid w:val="004119A6"/>
    <w:rsid w:val="00411EC7"/>
    <w:rsid w:val="00413A86"/>
    <w:rsid w:val="0041409E"/>
    <w:rsid w:val="00414C5C"/>
    <w:rsid w:val="00415F19"/>
    <w:rsid w:val="00415FC5"/>
    <w:rsid w:val="0041736E"/>
    <w:rsid w:val="004176C0"/>
    <w:rsid w:val="00420CBD"/>
    <w:rsid w:val="004210DF"/>
    <w:rsid w:val="00421B48"/>
    <w:rsid w:val="00421D8B"/>
    <w:rsid w:val="004236C9"/>
    <w:rsid w:val="00423CAE"/>
    <w:rsid w:val="004249C0"/>
    <w:rsid w:val="00424BC4"/>
    <w:rsid w:val="00425709"/>
    <w:rsid w:val="00427E52"/>
    <w:rsid w:val="00430E88"/>
    <w:rsid w:val="0043211C"/>
    <w:rsid w:val="00432A1F"/>
    <w:rsid w:val="004335D1"/>
    <w:rsid w:val="0043517E"/>
    <w:rsid w:val="00435543"/>
    <w:rsid w:val="00435589"/>
    <w:rsid w:val="004377FA"/>
    <w:rsid w:val="00437C38"/>
    <w:rsid w:val="0044147D"/>
    <w:rsid w:val="0044358B"/>
    <w:rsid w:val="00444621"/>
    <w:rsid w:val="00444ADF"/>
    <w:rsid w:val="004474EF"/>
    <w:rsid w:val="00451B9A"/>
    <w:rsid w:val="00451BD6"/>
    <w:rsid w:val="00451D6A"/>
    <w:rsid w:val="00453A75"/>
    <w:rsid w:val="00453D4A"/>
    <w:rsid w:val="00454E7A"/>
    <w:rsid w:val="004556C9"/>
    <w:rsid w:val="004559EE"/>
    <w:rsid w:val="00455E0E"/>
    <w:rsid w:val="00456273"/>
    <w:rsid w:val="00456B4E"/>
    <w:rsid w:val="00462458"/>
    <w:rsid w:val="004638F5"/>
    <w:rsid w:val="004646BC"/>
    <w:rsid w:val="00465F8F"/>
    <w:rsid w:val="004670DA"/>
    <w:rsid w:val="00467431"/>
    <w:rsid w:val="00471407"/>
    <w:rsid w:val="00473D2A"/>
    <w:rsid w:val="00476288"/>
    <w:rsid w:val="004770C4"/>
    <w:rsid w:val="00483D50"/>
    <w:rsid w:val="00483D73"/>
    <w:rsid w:val="00483FAB"/>
    <w:rsid w:val="00484D28"/>
    <w:rsid w:val="004859F7"/>
    <w:rsid w:val="00490529"/>
    <w:rsid w:val="004914A0"/>
    <w:rsid w:val="00491FC8"/>
    <w:rsid w:val="00493359"/>
    <w:rsid w:val="0049406C"/>
    <w:rsid w:val="00496B08"/>
    <w:rsid w:val="00496D23"/>
    <w:rsid w:val="004A3D92"/>
    <w:rsid w:val="004A449A"/>
    <w:rsid w:val="004A479B"/>
    <w:rsid w:val="004A6712"/>
    <w:rsid w:val="004B4001"/>
    <w:rsid w:val="004B4CAD"/>
    <w:rsid w:val="004B5274"/>
    <w:rsid w:val="004B6D5D"/>
    <w:rsid w:val="004B6F5B"/>
    <w:rsid w:val="004B7733"/>
    <w:rsid w:val="004C0391"/>
    <w:rsid w:val="004C079F"/>
    <w:rsid w:val="004C09F2"/>
    <w:rsid w:val="004C1694"/>
    <w:rsid w:val="004C3300"/>
    <w:rsid w:val="004C3C2B"/>
    <w:rsid w:val="004C4FF1"/>
    <w:rsid w:val="004C5C08"/>
    <w:rsid w:val="004C6DD6"/>
    <w:rsid w:val="004C7579"/>
    <w:rsid w:val="004C7783"/>
    <w:rsid w:val="004C79FB"/>
    <w:rsid w:val="004D021E"/>
    <w:rsid w:val="004D3FA9"/>
    <w:rsid w:val="004D48DE"/>
    <w:rsid w:val="004D535C"/>
    <w:rsid w:val="004D54BD"/>
    <w:rsid w:val="004E0365"/>
    <w:rsid w:val="004E252F"/>
    <w:rsid w:val="004E37B8"/>
    <w:rsid w:val="004E52DA"/>
    <w:rsid w:val="004F0AAA"/>
    <w:rsid w:val="004F34C3"/>
    <w:rsid w:val="004F397C"/>
    <w:rsid w:val="004F5DA8"/>
    <w:rsid w:val="004F6DF9"/>
    <w:rsid w:val="004F7CF6"/>
    <w:rsid w:val="00501A1C"/>
    <w:rsid w:val="00502731"/>
    <w:rsid w:val="00502941"/>
    <w:rsid w:val="00503269"/>
    <w:rsid w:val="00503831"/>
    <w:rsid w:val="00503BDA"/>
    <w:rsid w:val="0050494C"/>
    <w:rsid w:val="00507518"/>
    <w:rsid w:val="005100A6"/>
    <w:rsid w:val="00510B7A"/>
    <w:rsid w:val="005136CC"/>
    <w:rsid w:val="00520FF5"/>
    <w:rsid w:val="00521ACC"/>
    <w:rsid w:val="00521EA1"/>
    <w:rsid w:val="00521EEA"/>
    <w:rsid w:val="005229D7"/>
    <w:rsid w:val="00522F56"/>
    <w:rsid w:val="00524FBD"/>
    <w:rsid w:val="00527CFE"/>
    <w:rsid w:val="0053256E"/>
    <w:rsid w:val="005335DC"/>
    <w:rsid w:val="00533829"/>
    <w:rsid w:val="00533E0C"/>
    <w:rsid w:val="005353C3"/>
    <w:rsid w:val="00536DA9"/>
    <w:rsid w:val="0054081D"/>
    <w:rsid w:val="00540E06"/>
    <w:rsid w:val="00540EE3"/>
    <w:rsid w:val="00541775"/>
    <w:rsid w:val="005446E7"/>
    <w:rsid w:val="0055177E"/>
    <w:rsid w:val="00553C7B"/>
    <w:rsid w:val="0055449F"/>
    <w:rsid w:val="00554A8B"/>
    <w:rsid w:val="005550CC"/>
    <w:rsid w:val="0055571C"/>
    <w:rsid w:val="005574F5"/>
    <w:rsid w:val="005578E6"/>
    <w:rsid w:val="005615A1"/>
    <w:rsid w:val="0056239A"/>
    <w:rsid w:val="00562EC1"/>
    <w:rsid w:val="0056317F"/>
    <w:rsid w:val="00563A59"/>
    <w:rsid w:val="00565296"/>
    <w:rsid w:val="00566238"/>
    <w:rsid w:val="0056719F"/>
    <w:rsid w:val="005673EF"/>
    <w:rsid w:val="00570C9A"/>
    <w:rsid w:val="00571244"/>
    <w:rsid w:val="005721C7"/>
    <w:rsid w:val="00572E21"/>
    <w:rsid w:val="0057381B"/>
    <w:rsid w:val="005748B3"/>
    <w:rsid w:val="0057634F"/>
    <w:rsid w:val="00576623"/>
    <w:rsid w:val="005772BB"/>
    <w:rsid w:val="00582F73"/>
    <w:rsid w:val="00583601"/>
    <w:rsid w:val="005862E1"/>
    <w:rsid w:val="00590879"/>
    <w:rsid w:val="00590B1B"/>
    <w:rsid w:val="0059134A"/>
    <w:rsid w:val="00593B46"/>
    <w:rsid w:val="005A05DE"/>
    <w:rsid w:val="005A1208"/>
    <w:rsid w:val="005A3289"/>
    <w:rsid w:val="005A34FE"/>
    <w:rsid w:val="005A49C9"/>
    <w:rsid w:val="005A5ED3"/>
    <w:rsid w:val="005B208D"/>
    <w:rsid w:val="005B263E"/>
    <w:rsid w:val="005B2CF0"/>
    <w:rsid w:val="005B3B9B"/>
    <w:rsid w:val="005B45C0"/>
    <w:rsid w:val="005B6E1E"/>
    <w:rsid w:val="005C19CF"/>
    <w:rsid w:val="005C36FE"/>
    <w:rsid w:val="005C7189"/>
    <w:rsid w:val="005C7E17"/>
    <w:rsid w:val="005C7E2A"/>
    <w:rsid w:val="005D158B"/>
    <w:rsid w:val="005D1CD6"/>
    <w:rsid w:val="005D2F08"/>
    <w:rsid w:val="005D55A3"/>
    <w:rsid w:val="005D55D1"/>
    <w:rsid w:val="005D5B1B"/>
    <w:rsid w:val="005D5C40"/>
    <w:rsid w:val="005D7F8C"/>
    <w:rsid w:val="005E472C"/>
    <w:rsid w:val="005E4DB4"/>
    <w:rsid w:val="005E5604"/>
    <w:rsid w:val="005E7EB2"/>
    <w:rsid w:val="005E7F05"/>
    <w:rsid w:val="005F0ED0"/>
    <w:rsid w:val="005F1602"/>
    <w:rsid w:val="005F2B25"/>
    <w:rsid w:val="005F560E"/>
    <w:rsid w:val="005F5B9F"/>
    <w:rsid w:val="005F603E"/>
    <w:rsid w:val="005F6ED7"/>
    <w:rsid w:val="006001F8"/>
    <w:rsid w:val="00601219"/>
    <w:rsid w:val="00602315"/>
    <w:rsid w:val="006026CC"/>
    <w:rsid w:val="0060304F"/>
    <w:rsid w:val="00603A70"/>
    <w:rsid w:val="00603BF5"/>
    <w:rsid w:val="0060480A"/>
    <w:rsid w:val="00605412"/>
    <w:rsid w:val="006069A6"/>
    <w:rsid w:val="00610803"/>
    <w:rsid w:val="00610DED"/>
    <w:rsid w:val="00611C27"/>
    <w:rsid w:val="00612A50"/>
    <w:rsid w:val="00613712"/>
    <w:rsid w:val="00613D97"/>
    <w:rsid w:val="00613E24"/>
    <w:rsid w:val="0061624D"/>
    <w:rsid w:val="00617B6C"/>
    <w:rsid w:val="0062002B"/>
    <w:rsid w:val="00620A2A"/>
    <w:rsid w:val="00622357"/>
    <w:rsid w:val="00622892"/>
    <w:rsid w:val="00622EE2"/>
    <w:rsid w:val="0062354C"/>
    <w:rsid w:val="006235DD"/>
    <w:rsid w:val="00623BB1"/>
    <w:rsid w:val="00623D92"/>
    <w:rsid w:val="006252BF"/>
    <w:rsid w:val="006260C2"/>
    <w:rsid w:val="006267E3"/>
    <w:rsid w:val="00626B23"/>
    <w:rsid w:val="00632FA7"/>
    <w:rsid w:val="006335B0"/>
    <w:rsid w:val="006354DF"/>
    <w:rsid w:val="00635B6C"/>
    <w:rsid w:val="00635D6F"/>
    <w:rsid w:val="0064058B"/>
    <w:rsid w:val="00640861"/>
    <w:rsid w:val="00641636"/>
    <w:rsid w:val="00641F17"/>
    <w:rsid w:val="00646080"/>
    <w:rsid w:val="00646C03"/>
    <w:rsid w:val="00650808"/>
    <w:rsid w:val="00650970"/>
    <w:rsid w:val="00650E51"/>
    <w:rsid w:val="006520CA"/>
    <w:rsid w:val="006545E9"/>
    <w:rsid w:val="006569CB"/>
    <w:rsid w:val="006600AA"/>
    <w:rsid w:val="00660727"/>
    <w:rsid w:val="00660F16"/>
    <w:rsid w:val="00661EF7"/>
    <w:rsid w:val="006623A9"/>
    <w:rsid w:val="00663B0F"/>
    <w:rsid w:val="00664F3A"/>
    <w:rsid w:val="00666AEB"/>
    <w:rsid w:val="00673082"/>
    <w:rsid w:val="00673841"/>
    <w:rsid w:val="006763F9"/>
    <w:rsid w:val="00676669"/>
    <w:rsid w:val="00677196"/>
    <w:rsid w:val="0068029B"/>
    <w:rsid w:val="00680708"/>
    <w:rsid w:val="006819E4"/>
    <w:rsid w:val="00681ABB"/>
    <w:rsid w:val="00683683"/>
    <w:rsid w:val="00683B8B"/>
    <w:rsid w:val="00683D76"/>
    <w:rsid w:val="00684E08"/>
    <w:rsid w:val="00687310"/>
    <w:rsid w:val="00690884"/>
    <w:rsid w:val="00691604"/>
    <w:rsid w:val="00692F24"/>
    <w:rsid w:val="00693D67"/>
    <w:rsid w:val="00694B22"/>
    <w:rsid w:val="006950A3"/>
    <w:rsid w:val="00695CA9"/>
    <w:rsid w:val="00696E9C"/>
    <w:rsid w:val="00697A4B"/>
    <w:rsid w:val="006A1485"/>
    <w:rsid w:val="006A1650"/>
    <w:rsid w:val="006A1B9F"/>
    <w:rsid w:val="006A1E59"/>
    <w:rsid w:val="006A2AA7"/>
    <w:rsid w:val="006A2B04"/>
    <w:rsid w:val="006A4305"/>
    <w:rsid w:val="006A4C0B"/>
    <w:rsid w:val="006A59A9"/>
    <w:rsid w:val="006A7307"/>
    <w:rsid w:val="006A7B3B"/>
    <w:rsid w:val="006A7FC7"/>
    <w:rsid w:val="006B187A"/>
    <w:rsid w:val="006B1972"/>
    <w:rsid w:val="006B6922"/>
    <w:rsid w:val="006B7F30"/>
    <w:rsid w:val="006C1EDE"/>
    <w:rsid w:val="006C2755"/>
    <w:rsid w:val="006C3AFA"/>
    <w:rsid w:val="006C4A46"/>
    <w:rsid w:val="006C5E42"/>
    <w:rsid w:val="006C6023"/>
    <w:rsid w:val="006C7803"/>
    <w:rsid w:val="006C7E7F"/>
    <w:rsid w:val="006D0119"/>
    <w:rsid w:val="006D04F7"/>
    <w:rsid w:val="006D3CB2"/>
    <w:rsid w:val="006D3EDF"/>
    <w:rsid w:val="006D50EE"/>
    <w:rsid w:val="006D5393"/>
    <w:rsid w:val="006D55F7"/>
    <w:rsid w:val="006D5CBB"/>
    <w:rsid w:val="006D7BD5"/>
    <w:rsid w:val="006E033A"/>
    <w:rsid w:val="006E0B05"/>
    <w:rsid w:val="006E1F0E"/>
    <w:rsid w:val="006E33A5"/>
    <w:rsid w:val="006E567A"/>
    <w:rsid w:val="006E6476"/>
    <w:rsid w:val="006F05FF"/>
    <w:rsid w:val="006F10EA"/>
    <w:rsid w:val="006F60BA"/>
    <w:rsid w:val="006F79D3"/>
    <w:rsid w:val="0070002A"/>
    <w:rsid w:val="00700346"/>
    <w:rsid w:val="00700CFC"/>
    <w:rsid w:val="007016C8"/>
    <w:rsid w:val="00706D60"/>
    <w:rsid w:val="00710787"/>
    <w:rsid w:val="00711864"/>
    <w:rsid w:val="00711E32"/>
    <w:rsid w:val="00715108"/>
    <w:rsid w:val="00715229"/>
    <w:rsid w:val="007164B3"/>
    <w:rsid w:val="00721220"/>
    <w:rsid w:val="0072248D"/>
    <w:rsid w:val="007258B6"/>
    <w:rsid w:val="00727D43"/>
    <w:rsid w:val="0073111B"/>
    <w:rsid w:val="007322A7"/>
    <w:rsid w:val="007324C1"/>
    <w:rsid w:val="007355EE"/>
    <w:rsid w:val="00736195"/>
    <w:rsid w:val="007367FB"/>
    <w:rsid w:val="00737690"/>
    <w:rsid w:val="00737877"/>
    <w:rsid w:val="0073797C"/>
    <w:rsid w:val="00737F43"/>
    <w:rsid w:val="007407EC"/>
    <w:rsid w:val="0074155F"/>
    <w:rsid w:val="00741D7F"/>
    <w:rsid w:val="00741E33"/>
    <w:rsid w:val="0074239B"/>
    <w:rsid w:val="00742E24"/>
    <w:rsid w:val="00742F56"/>
    <w:rsid w:val="0074394C"/>
    <w:rsid w:val="007441E7"/>
    <w:rsid w:val="00744284"/>
    <w:rsid w:val="007446BE"/>
    <w:rsid w:val="00744837"/>
    <w:rsid w:val="00745D7D"/>
    <w:rsid w:val="00745E85"/>
    <w:rsid w:val="00746C47"/>
    <w:rsid w:val="00746C7D"/>
    <w:rsid w:val="00746F46"/>
    <w:rsid w:val="00747D57"/>
    <w:rsid w:val="00752A0C"/>
    <w:rsid w:val="0075354A"/>
    <w:rsid w:val="00754C15"/>
    <w:rsid w:val="00756335"/>
    <w:rsid w:val="007568DA"/>
    <w:rsid w:val="00756B6E"/>
    <w:rsid w:val="00757DDB"/>
    <w:rsid w:val="00760D1A"/>
    <w:rsid w:val="00761759"/>
    <w:rsid w:val="007621FE"/>
    <w:rsid w:val="007628EA"/>
    <w:rsid w:val="00762B55"/>
    <w:rsid w:val="00765609"/>
    <w:rsid w:val="0077017D"/>
    <w:rsid w:val="00770C6E"/>
    <w:rsid w:val="00771A18"/>
    <w:rsid w:val="00775370"/>
    <w:rsid w:val="007761B2"/>
    <w:rsid w:val="00777043"/>
    <w:rsid w:val="00780014"/>
    <w:rsid w:val="007808FE"/>
    <w:rsid w:val="00780F57"/>
    <w:rsid w:val="00781822"/>
    <w:rsid w:val="00782B60"/>
    <w:rsid w:val="00783F77"/>
    <w:rsid w:val="00784D6F"/>
    <w:rsid w:val="0078567B"/>
    <w:rsid w:val="00785FA7"/>
    <w:rsid w:val="007879B8"/>
    <w:rsid w:val="007905B2"/>
    <w:rsid w:val="00790FF6"/>
    <w:rsid w:val="00791F15"/>
    <w:rsid w:val="00795C2E"/>
    <w:rsid w:val="00796737"/>
    <w:rsid w:val="00796B3E"/>
    <w:rsid w:val="00797A78"/>
    <w:rsid w:val="007A09F3"/>
    <w:rsid w:val="007A0CB9"/>
    <w:rsid w:val="007A136D"/>
    <w:rsid w:val="007A2934"/>
    <w:rsid w:val="007A2DD8"/>
    <w:rsid w:val="007A3054"/>
    <w:rsid w:val="007A3C01"/>
    <w:rsid w:val="007A40C1"/>
    <w:rsid w:val="007A4494"/>
    <w:rsid w:val="007A50B9"/>
    <w:rsid w:val="007A5356"/>
    <w:rsid w:val="007B07C0"/>
    <w:rsid w:val="007B15DA"/>
    <w:rsid w:val="007B2B09"/>
    <w:rsid w:val="007B309F"/>
    <w:rsid w:val="007B66B7"/>
    <w:rsid w:val="007C0810"/>
    <w:rsid w:val="007C0BB6"/>
    <w:rsid w:val="007C1005"/>
    <w:rsid w:val="007C3CCD"/>
    <w:rsid w:val="007C3DFA"/>
    <w:rsid w:val="007C41F5"/>
    <w:rsid w:val="007C521F"/>
    <w:rsid w:val="007C567E"/>
    <w:rsid w:val="007D2D39"/>
    <w:rsid w:val="007D4574"/>
    <w:rsid w:val="007D469E"/>
    <w:rsid w:val="007D511B"/>
    <w:rsid w:val="007D7233"/>
    <w:rsid w:val="007E025B"/>
    <w:rsid w:val="007E2276"/>
    <w:rsid w:val="007E3963"/>
    <w:rsid w:val="007E4496"/>
    <w:rsid w:val="007E5885"/>
    <w:rsid w:val="007E5909"/>
    <w:rsid w:val="007E6C09"/>
    <w:rsid w:val="007E7398"/>
    <w:rsid w:val="007F08B9"/>
    <w:rsid w:val="007F1AB5"/>
    <w:rsid w:val="007F1CBD"/>
    <w:rsid w:val="007F274D"/>
    <w:rsid w:val="007F48FC"/>
    <w:rsid w:val="007F557E"/>
    <w:rsid w:val="007F6B05"/>
    <w:rsid w:val="008008DF"/>
    <w:rsid w:val="00800CBC"/>
    <w:rsid w:val="008010BF"/>
    <w:rsid w:val="00802E06"/>
    <w:rsid w:val="00803292"/>
    <w:rsid w:val="00803BFE"/>
    <w:rsid w:val="0080495B"/>
    <w:rsid w:val="0080524E"/>
    <w:rsid w:val="0080728A"/>
    <w:rsid w:val="00810697"/>
    <w:rsid w:val="008121D4"/>
    <w:rsid w:val="008124E8"/>
    <w:rsid w:val="00812810"/>
    <w:rsid w:val="00813701"/>
    <w:rsid w:val="0081536D"/>
    <w:rsid w:val="00815714"/>
    <w:rsid w:val="0081598E"/>
    <w:rsid w:val="008160C4"/>
    <w:rsid w:val="00816279"/>
    <w:rsid w:val="00817D37"/>
    <w:rsid w:val="00821178"/>
    <w:rsid w:val="008220B7"/>
    <w:rsid w:val="00822B45"/>
    <w:rsid w:val="00826A78"/>
    <w:rsid w:val="0083221F"/>
    <w:rsid w:val="00832D49"/>
    <w:rsid w:val="0083340C"/>
    <w:rsid w:val="008402DE"/>
    <w:rsid w:val="008403EA"/>
    <w:rsid w:val="0084056B"/>
    <w:rsid w:val="00841B61"/>
    <w:rsid w:val="00841F98"/>
    <w:rsid w:val="00841FDB"/>
    <w:rsid w:val="00843A1B"/>
    <w:rsid w:val="00843ABC"/>
    <w:rsid w:val="00845A3D"/>
    <w:rsid w:val="00845EB0"/>
    <w:rsid w:val="00852FBF"/>
    <w:rsid w:val="00854E59"/>
    <w:rsid w:val="00860197"/>
    <w:rsid w:val="0086038D"/>
    <w:rsid w:val="00860B42"/>
    <w:rsid w:val="00860C8C"/>
    <w:rsid w:val="00860F5F"/>
    <w:rsid w:val="00862636"/>
    <w:rsid w:val="008629F2"/>
    <w:rsid w:val="00863746"/>
    <w:rsid w:val="008742B7"/>
    <w:rsid w:val="00874C5A"/>
    <w:rsid w:val="00875CFB"/>
    <w:rsid w:val="00875F0F"/>
    <w:rsid w:val="00876706"/>
    <w:rsid w:val="00876DDE"/>
    <w:rsid w:val="0087725E"/>
    <w:rsid w:val="0087780E"/>
    <w:rsid w:val="00882AE3"/>
    <w:rsid w:val="008857CE"/>
    <w:rsid w:val="00886124"/>
    <w:rsid w:val="0088636D"/>
    <w:rsid w:val="00887A06"/>
    <w:rsid w:val="00890241"/>
    <w:rsid w:val="00892877"/>
    <w:rsid w:val="00892F35"/>
    <w:rsid w:val="00892FED"/>
    <w:rsid w:val="008937B8"/>
    <w:rsid w:val="0089407B"/>
    <w:rsid w:val="00894280"/>
    <w:rsid w:val="00894942"/>
    <w:rsid w:val="00896257"/>
    <w:rsid w:val="00897570"/>
    <w:rsid w:val="0089769D"/>
    <w:rsid w:val="008A01CD"/>
    <w:rsid w:val="008A0CC5"/>
    <w:rsid w:val="008A1E61"/>
    <w:rsid w:val="008A29DE"/>
    <w:rsid w:val="008A3B10"/>
    <w:rsid w:val="008A3B55"/>
    <w:rsid w:val="008A647A"/>
    <w:rsid w:val="008B03AB"/>
    <w:rsid w:val="008B070A"/>
    <w:rsid w:val="008B07BD"/>
    <w:rsid w:val="008B10D9"/>
    <w:rsid w:val="008B2C79"/>
    <w:rsid w:val="008B2DC0"/>
    <w:rsid w:val="008B3829"/>
    <w:rsid w:val="008B3936"/>
    <w:rsid w:val="008B48B0"/>
    <w:rsid w:val="008B4FF6"/>
    <w:rsid w:val="008B6537"/>
    <w:rsid w:val="008B6D4A"/>
    <w:rsid w:val="008B7860"/>
    <w:rsid w:val="008B7D2F"/>
    <w:rsid w:val="008C0F12"/>
    <w:rsid w:val="008C196C"/>
    <w:rsid w:val="008C279C"/>
    <w:rsid w:val="008C34F1"/>
    <w:rsid w:val="008C4DBF"/>
    <w:rsid w:val="008C5167"/>
    <w:rsid w:val="008C5706"/>
    <w:rsid w:val="008C6056"/>
    <w:rsid w:val="008C62D3"/>
    <w:rsid w:val="008C6A83"/>
    <w:rsid w:val="008C7F88"/>
    <w:rsid w:val="008C7FB5"/>
    <w:rsid w:val="008D0A80"/>
    <w:rsid w:val="008D114B"/>
    <w:rsid w:val="008D2604"/>
    <w:rsid w:val="008D2A68"/>
    <w:rsid w:val="008D4F96"/>
    <w:rsid w:val="008D533F"/>
    <w:rsid w:val="008D6A9C"/>
    <w:rsid w:val="008E2521"/>
    <w:rsid w:val="008E31E2"/>
    <w:rsid w:val="008E3212"/>
    <w:rsid w:val="008E3731"/>
    <w:rsid w:val="008E41C7"/>
    <w:rsid w:val="008E56C5"/>
    <w:rsid w:val="008E5747"/>
    <w:rsid w:val="008E5D3A"/>
    <w:rsid w:val="008E61C5"/>
    <w:rsid w:val="008F05BF"/>
    <w:rsid w:val="008F33A8"/>
    <w:rsid w:val="008F6209"/>
    <w:rsid w:val="008F6903"/>
    <w:rsid w:val="008F779F"/>
    <w:rsid w:val="0090034C"/>
    <w:rsid w:val="00901193"/>
    <w:rsid w:val="00901254"/>
    <w:rsid w:val="00901D37"/>
    <w:rsid w:val="00903F75"/>
    <w:rsid w:val="00910336"/>
    <w:rsid w:val="009121CE"/>
    <w:rsid w:val="009127F0"/>
    <w:rsid w:val="009139BB"/>
    <w:rsid w:val="009139E7"/>
    <w:rsid w:val="00913DB8"/>
    <w:rsid w:val="0091420D"/>
    <w:rsid w:val="009158EE"/>
    <w:rsid w:val="00915F5D"/>
    <w:rsid w:val="0091658D"/>
    <w:rsid w:val="009165A4"/>
    <w:rsid w:val="00917ACF"/>
    <w:rsid w:val="00920251"/>
    <w:rsid w:val="009207B5"/>
    <w:rsid w:val="009220EF"/>
    <w:rsid w:val="0092404D"/>
    <w:rsid w:val="009255F5"/>
    <w:rsid w:val="009256C4"/>
    <w:rsid w:val="00925BA5"/>
    <w:rsid w:val="00926D66"/>
    <w:rsid w:val="00926EFC"/>
    <w:rsid w:val="00927995"/>
    <w:rsid w:val="009310B0"/>
    <w:rsid w:val="00931CEB"/>
    <w:rsid w:val="0093244D"/>
    <w:rsid w:val="00933636"/>
    <w:rsid w:val="00933776"/>
    <w:rsid w:val="00933D10"/>
    <w:rsid w:val="0093402A"/>
    <w:rsid w:val="00935538"/>
    <w:rsid w:val="009355A7"/>
    <w:rsid w:val="00936222"/>
    <w:rsid w:val="00936D29"/>
    <w:rsid w:val="00940C92"/>
    <w:rsid w:val="00941364"/>
    <w:rsid w:val="0094192F"/>
    <w:rsid w:val="00941F99"/>
    <w:rsid w:val="009440AC"/>
    <w:rsid w:val="0094498A"/>
    <w:rsid w:val="00944F72"/>
    <w:rsid w:val="009458A5"/>
    <w:rsid w:val="009466A1"/>
    <w:rsid w:val="009502E5"/>
    <w:rsid w:val="00950665"/>
    <w:rsid w:val="00952200"/>
    <w:rsid w:val="00954170"/>
    <w:rsid w:val="00954B9A"/>
    <w:rsid w:val="00954C74"/>
    <w:rsid w:val="00960C92"/>
    <w:rsid w:val="0096135D"/>
    <w:rsid w:val="00961E4B"/>
    <w:rsid w:val="00961E4F"/>
    <w:rsid w:val="00962054"/>
    <w:rsid w:val="00965484"/>
    <w:rsid w:val="0096655D"/>
    <w:rsid w:val="00966D60"/>
    <w:rsid w:val="00967830"/>
    <w:rsid w:val="00967837"/>
    <w:rsid w:val="00967849"/>
    <w:rsid w:val="00967D48"/>
    <w:rsid w:val="00972E96"/>
    <w:rsid w:val="00973F08"/>
    <w:rsid w:val="00974AC4"/>
    <w:rsid w:val="00974B07"/>
    <w:rsid w:val="00974B1C"/>
    <w:rsid w:val="00975916"/>
    <w:rsid w:val="00975B8F"/>
    <w:rsid w:val="00976B00"/>
    <w:rsid w:val="00976DFB"/>
    <w:rsid w:val="00982B27"/>
    <w:rsid w:val="00982D76"/>
    <w:rsid w:val="00983DA8"/>
    <w:rsid w:val="00983F79"/>
    <w:rsid w:val="00984242"/>
    <w:rsid w:val="009842B7"/>
    <w:rsid w:val="00984702"/>
    <w:rsid w:val="00985C46"/>
    <w:rsid w:val="009865D9"/>
    <w:rsid w:val="00990B98"/>
    <w:rsid w:val="00990EB5"/>
    <w:rsid w:val="00990FB1"/>
    <w:rsid w:val="009932C6"/>
    <w:rsid w:val="00994D9B"/>
    <w:rsid w:val="00994F2D"/>
    <w:rsid w:val="00997A4D"/>
    <w:rsid w:val="009A0A14"/>
    <w:rsid w:val="009A1B89"/>
    <w:rsid w:val="009A2CC4"/>
    <w:rsid w:val="009A2EEA"/>
    <w:rsid w:val="009A3B67"/>
    <w:rsid w:val="009A4D59"/>
    <w:rsid w:val="009B062A"/>
    <w:rsid w:val="009B0C3D"/>
    <w:rsid w:val="009B3A27"/>
    <w:rsid w:val="009B3B18"/>
    <w:rsid w:val="009B616A"/>
    <w:rsid w:val="009B61C9"/>
    <w:rsid w:val="009B6F38"/>
    <w:rsid w:val="009B71DA"/>
    <w:rsid w:val="009C03C9"/>
    <w:rsid w:val="009C0E18"/>
    <w:rsid w:val="009C16B9"/>
    <w:rsid w:val="009C2F2D"/>
    <w:rsid w:val="009C332C"/>
    <w:rsid w:val="009C3CDC"/>
    <w:rsid w:val="009C477E"/>
    <w:rsid w:val="009C5FB6"/>
    <w:rsid w:val="009D00D8"/>
    <w:rsid w:val="009D0B74"/>
    <w:rsid w:val="009D10A2"/>
    <w:rsid w:val="009D175B"/>
    <w:rsid w:val="009D3D5D"/>
    <w:rsid w:val="009D67F2"/>
    <w:rsid w:val="009D717F"/>
    <w:rsid w:val="009E0285"/>
    <w:rsid w:val="009E0288"/>
    <w:rsid w:val="009E1ED6"/>
    <w:rsid w:val="009E3637"/>
    <w:rsid w:val="009E4409"/>
    <w:rsid w:val="009E4736"/>
    <w:rsid w:val="009E4A52"/>
    <w:rsid w:val="009E4F5A"/>
    <w:rsid w:val="009E54FD"/>
    <w:rsid w:val="009F0104"/>
    <w:rsid w:val="009F09D5"/>
    <w:rsid w:val="009F1F32"/>
    <w:rsid w:val="009F29CE"/>
    <w:rsid w:val="009F5C10"/>
    <w:rsid w:val="009F60C6"/>
    <w:rsid w:val="009F6446"/>
    <w:rsid w:val="009F6BBC"/>
    <w:rsid w:val="00A02818"/>
    <w:rsid w:val="00A04104"/>
    <w:rsid w:val="00A0514D"/>
    <w:rsid w:val="00A05FA8"/>
    <w:rsid w:val="00A06F96"/>
    <w:rsid w:val="00A10C53"/>
    <w:rsid w:val="00A13CE4"/>
    <w:rsid w:val="00A14B13"/>
    <w:rsid w:val="00A14C26"/>
    <w:rsid w:val="00A2031D"/>
    <w:rsid w:val="00A2158A"/>
    <w:rsid w:val="00A240BA"/>
    <w:rsid w:val="00A25BFC"/>
    <w:rsid w:val="00A26AE0"/>
    <w:rsid w:val="00A2728B"/>
    <w:rsid w:val="00A3153C"/>
    <w:rsid w:val="00A320D8"/>
    <w:rsid w:val="00A35E78"/>
    <w:rsid w:val="00A35F24"/>
    <w:rsid w:val="00A3785B"/>
    <w:rsid w:val="00A401E1"/>
    <w:rsid w:val="00A40534"/>
    <w:rsid w:val="00A424F8"/>
    <w:rsid w:val="00A42CC4"/>
    <w:rsid w:val="00A4435E"/>
    <w:rsid w:val="00A463B7"/>
    <w:rsid w:val="00A467F9"/>
    <w:rsid w:val="00A46937"/>
    <w:rsid w:val="00A51C29"/>
    <w:rsid w:val="00A52C73"/>
    <w:rsid w:val="00A534A1"/>
    <w:rsid w:val="00A575A3"/>
    <w:rsid w:val="00A57604"/>
    <w:rsid w:val="00A57ED2"/>
    <w:rsid w:val="00A63301"/>
    <w:rsid w:val="00A63FD2"/>
    <w:rsid w:val="00A64D67"/>
    <w:rsid w:val="00A66387"/>
    <w:rsid w:val="00A664F0"/>
    <w:rsid w:val="00A700B2"/>
    <w:rsid w:val="00A71A1D"/>
    <w:rsid w:val="00A71E98"/>
    <w:rsid w:val="00A7239D"/>
    <w:rsid w:val="00A72BEC"/>
    <w:rsid w:val="00A751C6"/>
    <w:rsid w:val="00A753D9"/>
    <w:rsid w:val="00A75722"/>
    <w:rsid w:val="00A75956"/>
    <w:rsid w:val="00A75DE8"/>
    <w:rsid w:val="00A7628C"/>
    <w:rsid w:val="00A8090B"/>
    <w:rsid w:val="00A838FF"/>
    <w:rsid w:val="00A84CAC"/>
    <w:rsid w:val="00A8610A"/>
    <w:rsid w:val="00A901BF"/>
    <w:rsid w:val="00A90D54"/>
    <w:rsid w:val="00A918F3"/>
    <w:rsid w:val="00A91CB4"/>
    <w:rsid w:val="00A9220F"/>
    <w:rsid w:val="00A930C2"/>
    <w:rsid w:val="00A939CC"/>
    <w:rsid w:val="00A950C4"/>
    <w:rsid w:val="00A95310"/>
    <w:rsid w:val="00A95EE3"/>
    <w:rsid w:val="00A97D57"/>
    <w:rsid w:val="00AA0B1B"/>
    <w:rsid w:val="00AA261E"/>
    <w:rsid w:val="00AA29B1"/>
    <w:rsid w:val="00AA2F5E"/>
    <w:rsid w:val="00AA32BA"/>
    <w:rsid w:val="00AA5C3E"/>
    <w:rsid w:val="00AB0194"/>
    <w:rsid w:val="00AB0629"/>
    <w:rsid w:val="00AB1573"/>
    <w:rsid w:val="00AB17B8"/>
    <w:rsid w:val="00AB2CC7"/>
    <w:rsid w:val="00AB2F7E"/>
    <w:rsid w:val="00AB3310"/>
    <w:rsid w:val="00AB40CF"/>
    <w:rsid w:val="00AB4456"/>
    <w:rsid w:val="00AB577D"/>
    <w:rsid w:val="00AB5DD6"/>
    <w:rsid w:val="00AB5E4B"/>
    <w:rsid w:val="00AC1924"/>
    <w:rsid w:val="00AC50B1"/>
    <w:rsid w:val="00AC5467"/>
    <w:rsid w:val="00AC5D9F"/>
    <w:rsid w:val="00AC5E43"/>
    <w:rsid w:val="00AC6EEE"/>
    <w:rsid w:val="00AD04A4"/>
    <w:rsid w:val="00AD1F45"/>
    <w:rsid w:val="00AD3346"/>
    <w:rsid w:val="00AD3C39"/>
    <w:rsid w:val="00AD589F"/>
    <w:rsid w:val="00AD6247"/>
    <w:rsid w:val="00AD7B9C"/>
    <w:rsid w:val="00AE0FF4"/>
    <w:rsid w:val="00AE2EC5"/>
    <w:rsid w:val="00AE41A3"/>
    <w:rsid w:val="00AE47FB"/>
    <w:rsid w:val="00AE5259"/>
    <w:rsid w:val="00AE5749"/>
    <w:rsid w:val="00AE61EB"/>
    <w:rsid w:val="00AE6BA3"/>
    <w:rsid w:val="00AF0DC3"/>
    <w:rsid w:val="00AF2A9B"/>
    <w:rsid w:val="00AF32F6"/>
    <w:rsid w:val="00AF4C70"/>
    <w:rsid w:val="00AF63F8"/>
    <w:rsid w:val="00AF735B"/>
    <w:rsid w:val="00B01A39"/>
    <w:rsid w:val="00B02167"/>
    <w:rsid w:val="00B021DA"/>
    <w:rsid w:val="00B02A26"/>
    <w:rsid w:val="00B03D0A"/>
    <w:rsid w:val="00B0471E"/>
    <w:rsid w:val="00B05D51"/>
    <w:rsid w:val="00B07290"/>
    <w:rsid w:val="00B10A37"/>
    <w:rsid w:val="00B115C3"/>
    <w:rsid w:val="00B13D66"/>
    <w:rsid w:val="00B15290"/>
    <w:rsid w:val="00B15D84"/>
    <w:rsid w:val="00B16A3D"/>
    <w:rsid w:val="00B200CF"/>
    <w:rsid w:val="00B2017F"/>
    <w:rsid w:val="00B20BE3"/>
    <w:rsid w:val="00B22E1D"/>
    <w:rsid w:val="00B22E90"/>
    <w:rsid w:val="00B22F36"/>
    <w:rsid w:val="00B23B63"/>
    <w:rsid w:val="00B24AFB"/>
    <w:rsid w:val="00B250CC"/>
    <w:rsid w:val="00B2514A"/>
    <w:rsid w:val="00B25ED5"/>
    <w:rsid w:val="00B2691E"/>
    <w:rsid w:val="00B26EEC"/>
    <w:rsid w:val="00B27173"/>
    <w:rsid w:val="00B30079"/>
    <w:rsid w:val="00B30410"/>
    <w:rsid w:val="00B304AE"/>
    <w:rsid w:val="00B30E25"/>
    <w:rsid w:val="00B319F3"/>
    <w:rsid w:val="00B3339D"/>
    <w:rsid w:val="00B3523A"/>
    <w:rsid w:val="00B35754"/>
    <w:rsid w:val="00B36BD4"/>
    <w:rsid w:val="00B37033"/>
    <w:rsid w:val="00B370DC"/>
    <w:rsid w:val="00B5136F"/>
    <w:rsid w:val="00B52022"/>
    <w:rsid w:val="00B524C0"/>
    <w:rsid w:val="00B52B5D"/>
    <w:rsid w:val="00B567C2"/>
    <w:rsid w:val="00B56E45"/>
    <w:rsid w:val="00B60CCB"/>
    <w:rsid w:val="00B63720"/>
    <w:rsid w:val="00B647DD"/>
    <w:rsid w:val="00B65111"/>
    <w:rsid w:val="00B65FF7"/>
    <w:rsid w:val="00B66F3F"/>
    <w:rsid w:val="00B71A49"/>
    <w:rsid w:val="00B73A1E"/>
    <w:rsid w:val="00B74118"/>
    <w:rsid w:val="00B762B5"/>
    <w:rsid w:val="00B7731C"/>
    <w:rsid w:val="00B77489"/>
    <w:rsid w:val="00B812D2"/>
    <w:rsid w:val="00B81DDC"/>
    <w:rsid w:val="00B81E7A"/>
    <w:rsid w:val="00B82E6A"/>
    <w:rsid w:val="00B83FD9"/>
    <w:rsid w:val="00B84112"/>
    <w:rsid w:val="00B861BE"/>
    <w:rsid w:val="00B86230"/>
    <w:rsid w:val="00B8739A"/>
    <w:rsid w:val="00B87D0C"/>
    <w:rsid w:val="00B902A3"/>
    <w:rsid w:val="00B9116A"/>
    <w:rsid w:val="00B91743"/>
    <w:rsid w:val="00B9201A"/>
    <w:rsid w:val="00B92620"/>
    <w:rsid w:val="00B9275E"/>
    <w:rsid w:val="00B93A8B"/>
    <w:rsid w:val="00B9553D"/>
    <w:rsid w:val="00B961AE"/>
    <w:rsid w:val="00B96B41"/>
    <w:rsid w:val="00BA002F"/>
    <w:rsid w:val="00BA1322"/>
    <w:rsid w:val="00BA5EE8"/>
    <w:rsid w:val="00BA6301"/>
    <w:rsid w:val="00BA6F1E"/>
    <w:rsid w:val="00BB0C0A"/>
    <w:rsid w:val="00BB0F80"/>
    <w:rsid w:val="00BB6180"/>
    <w:rsid w:val="00BB7655"/>
    <w:rsid w:val="00BC138D"/>
    <w:rsid w:val="00BC1606"/>
    <w:rsid w:val="00BC1A15"/>
    <w:rsid w:val="00BC238E"/>
    <w:rsid w:val="00BC35D0"/>
    <w:rsid w:val="00BC3BCD"/>
    <w:rsid w:val="00BC42FF"/>
    <w:rsid w:val="00BC57B5"/>
    <w:rsid w:val="00BC70EF"/>
    <w:rsid w:val="00BC7BFB"/>
    <w:rsid w:val="00BC7F11"/>
    <w:rsid w:val="00BD2A94"/>
    <w:rsid w:val="00BD3184"/>
    <w:rsid w:val="00BD3930"/>
    <w:rsid w:val="00BD3D46"/>
    <w:rsid w:val="00BD4B84"/>
    <w:rsid w:val="00BD4D9F"/>
    <w:rsid w:val="00BD5253"/>
    <w:rsid w:val="00BD612B"/>
    <w:rsid w:val="00BD657D"/>
    <w:rsid w:val="00BD7156"/>
    <w:rsid w:val="00BE006A"/>
    <w:rsid w:val="00BE16AC"/>
    <w:rsid w:val="00BE2135"/>
    <w:rsid w:val="00BE40EB"/>
    <w:rsid w:val="00BE4DAC"/>
    <w:rsid w:val="00BE503D"/>
    <w:rsid w:val="00BE6CDA"/>
    <w:rsid w:val="00BF2B05"/>
    <w:rsid w:val="00BF7ECB"/>
    <w:rsid w:val="00C00EAD"/>
    <w:rsid w:val="00C01F3C"/>
    <w:rsid w:val="00C03450"/>
    <w:rsid w:val="00C0592D"/>
    <w:rsid w:val="00C062E0"/>
    <w:rsid w:val="00C105D2"/>
    <w:rsid w:val="00C11F1F"/>
    <w:rsid w:val="00C15DA0"/>
    <w:rsid w:val="00C20D73"/>
    <w:rsid w:val="00C215B3"/>
    <w:rsid w:val="00C22221"/>
    <w:rsid w:val="00C234DD"/>
    <w:rsid w:val="00C24315"/>
    <w:rsid w:val="00C251E1"/>
    <w:rsid w:val="00C25381"/>
    <w:rsid w:val="00C254D7"/>
    <w:rsid w:val="00C266CB"/>
    <w:rsid w:val="00C268D2"/>
    <w:rsid w:val="00C27F69"/>
    <w:rsid w:val="00C30AD7"/>
    <w:rsid w:val="00C31629"/>
    <w:rsid w:val="00C329E6"/>
    <w:rsid w:val="00C346C9"/>
    <w:rsid w:val="00C34B81"/>
    <w:rsid w:val="00C34BE8"/>
    <w:rsid w:val="00C37479"/>
    <w:rsid w:val="00C377B9"/>
    <w:rsid w:val="00C37BC6"/>
    <w:rsid w:val="00C40026"/>
    <w:rsid w:val="00C40096"/>
    <w:rsid w:val="00C40588"/>
    <w:rsid w:val="00C40720"/>
    <w:rsid w:val="00C40B65"/>
    <w:rsid w:val="00C429F8"/>
    <w:rsid w:val="00C44C0F"/>
    <w:rsid w:val="00C44CA1"/>
    <w:rsid w:val="00C46D5B"/>
    <w:rsid w:val="00C47628"/>
    <w:rsid w:val="00C5008A"/>
    <w:rsid w:val="00C50D8D"/>
    <w:rsid w:val="00C53E6C"/>
    <w:rsid w:val="00C55275"/>
    <w:rsid w:val="00C567B4"/>
    <w:rsid w:val="00C5708A"/>
    <w:rsid w:val="00C57C4A"/>
    <w:rsid w:val="00C57C85"/>
    <w:rsid w:val="00C602AB"/>
    <w:rsid w:val="00C6052C"/>
    <w:rsid w:val="00C60FB2"/>
    <w:rsid w:val="00C61FD0"/>
    <w:rsid w:val="00C64BCE"/>
    <w:rsid w:val="00C66A9E"/>
    <w:rsid w:val="00C66F4A"/>
    <w:rsid w:val="00C67873"/>
    <w:rsid w:val="00C70147"/>
    <w:rsid w:val="00C7048C"/>
    <w:rsid w:val="00C70E24"/>
    <w:rsid w:val="00C72FCD"/>
    <w:rsid w:val="00C74364"/>
    <w:rsid w:val="00C75B97"/>
    <w:rsid w:val="00C7640E"/>
    <w:rsid w:val="00C765A9"/>
    <w:rsid w:val="00C76615"/>
    <w:rsid w:val="00C775ED"/>
    <w:rsid w:val="00C8054B"/>
    <w:rsid w:val="00C81B97"/>
    <w:rsid w:val="00C834A3"/>
    <w:rsid w:val="00C8490D"/>
    <w:rsid w:val="00C84F46"/>
    <w:rsid w:val="00C85650"/>
    <w:rsid w:val="00C85804"/>
    <w:rsid w:val="00C8592A"/>
    <w:rsid w:val="00C8768F"/>
    <w:rsid w:val="00C90C5A"/>
    <w:rsid w:val="00C924DF"/>
    <w:rsid w:val="00C92DD4"/>
    <w:rsid w:val="00C93E4B"/>
    <w:rsid w:val="00C96B7D"/>
    <w:rsid w:val="00C96D3E"/>
    <w:rsid w:val="00CA0955"/>
    <w:rsid w:val="00CA5D4B"/>
    <w:rsid w:val="00CA6AAD"/>
    <w:rsid w:val="00CA6B63"/>
    <w:rsid w:val="00CA74E3"/>
    <w:rsid w:val="00CA787C"/>
    <w:rsid w:val="00CB004E"/>
    <w:rsid w:val="00CB18A7"/>
    <w:rsid w:val="00CB1F24"/>
    <w:rsid w:val="00CB2476"/>
    <w:rsid w:val="00CB42D9"/>
    <w:rsid w:val="00CB690F"/>
    <w:rsid w:val="00CC6733"/>
    <w:rsid w:val="00CC6A82"/>
    <w:rsid w:val="00CC713E"/>
    <w:rsid w:val="00CC78CC"/>
    <w:rsid w:val="00CD1852"/>
    <w:rsid w:val="00CD3B37"/>
    <w:rsid w:val="00CD485F"/>
    <w:rsid w:val="00CD4D71"/>
    <w:rsid w:val="00CD7F07"/>
    <w:rsid w:val="00CE04C6"/>
    <w:rsid w:val="00CE1232"/>
    <w:rsid w:val="00CE1C5C"/>
    <w:rsid w:val="00CE38F1"/>
    <w:rsid w:val="00CE66B6"/>
    <w:rsid w:val="00CF030F"/>
    <w:rsid w:val="00CF0755"/>
    <w:rsid w:val="00CF0770"/>
    <w:rsid w:val="00CF1767"/>
    <w:rsid w:val="00CF38AC"/>
    <w:rsid w:val="00CF3A3E"/>
    <w:rsid w:val="00CF4344"/>
    <w:rsid w:val="00CF4A3D"/>
    <w:rsid w:val="00CF4D76"/>
    <w:rsid w:val="00CF60F2"/>
    <w:rsid w:val="00CF673F"/>
    <w:rsid w:val="00CF678A"/>
    <w:rsid w:val="00CF7E21"/>
    <w:rsid w:val="00D011DB"/>
    <w:rsid w:val="00D01461"/>
    <w:rsid w:val="00D01A50"/>
    <w:rsid w:val="00D028E0"/>
    <w:rsid w:val="00D03C66"/>
    <w:rsid w:val="00D06A71"/>
    <w:rsid w:val="00D06B66"/>
    <w:rsid w:val="00D07574"/>
    <w:rsid w:val="00D13272"/>
    <w:rsid w:val="00D13CCD"/>
    <w:rsid w:val="00D1538B"/>
    <w:rsid w:val="00D16813"/>
    <w:rsid w:val="00D16C86"/>
    <w:rsid w:val="00D177F3"/>
    <w:rsid w:val="00D17A25"/>
    <w:rsid w:val="00D209D2"/>
    <w:rsid w:val="00D22D26"/>
    <w:rsid w:val="00D246C4"/>
    <w:rsid w:val="00D27367"/>
    <w:rsid w:val="00D27B62"/>
    <w:rsid w:val="00D302C9"/>
    <w:rsid w:val="00D31781"/>
    <w:rsid w:val="00D31B1E"/>
    <w:rsid w:val="00D322F4"/>
    <w:rsid w:val="00D33E2A"/>
    <w:rsid w:val="00D340AE"/>
    <w:rsid w:val="00D34A1B"/>
    <w:rsid w:val="00D34BF8"/>
    <w:rsid w:val="00D35A55"/>
    <w:rsid w:val="00D369AA"/>
    <w:rsid w:val="00D41F81"/>
    <w:rsid w:val="00D42D9C"/>
    <w:rsid w:val="00D44883"/>
    <w:rsid w:val="00D44A33"/>
    <w:rsid w:val="00D44DBB"/>
    <w:rsid w:val="00D45045"/>
    <w:rsid w:val="00D4505C"/>
    <w:rsid w:val="00D45F1F"/>
    <w:rsid w:val="00D514D7"/>
    <w:rsid w:val="00D51AE8"/>
    <w:rsid w:val="00D5468F"/>
    <w:rsid w:val="00D553B6"/>
    <w:rsid w:val="00D5680E"/>
    <w:rsid w:val="00D56919"/>
    <w:rsid w:val="00D577D2"/>
    <w:rsid w:val="00D57A7C"/>
    <w:rsid w:val="00D60B27"/>
    <w:rsid w:val="00D617A4"/>
    <w:rsid w:val="00D61AAD"/>
    <w:rsid w:val="00D63780"/>
    <w:rsid w:val="00D63CDE"/>
    <w:rsid w:val="00D64B76"/>
    <w:rsid w:val="00D657E0"/>
    <w:rsid w:val="00D66545"/>
    <w:rsid w:val="00D6737E"/>
    <w:rsid w:val="00D67738"/>
    <w:rsid w:val="00D71517"/>
    <w:rsid w:val="00D72A59"/>
    <w:rsid w:val="00D73A74"/>
    <w:rsid w:val="00D73A90"/>
    <w:rsid w:val="00D76CB2"/>
    <w:rsid w:val="00D77447"/>
    <w:rsid w:val="00D77902"/>
    <w:rsid w:val="00D82062"/>
    <w:rsid w:val="00D82FEE"/>
    <w:rsid w:val="00D83C59"/>
    <w:rsid w:val="00D84A6F"/>
    <w:rsid w:val="00D8548B"/>
    <w:rsid w:val="00D86089"/>
    <w:rsid w:val="00D86CE7"/>
    <w:rsid w:val="00D90E38"/>
    <w:rsid w:val="00D91069"/>
    <w:rsid w:val="00D91F65"/>
    <w:rsid w:val="00D92B40"/>
    <w:rsid w:val="00D940C7"/>
    <w:rsid w:val="00DA0CEF"/>
    <w:rsid w:val="00DA10B8"/>
    <w:rsid w:val="00DA16A1"/>
    <w:rsid w:val="00DA1ACD"/>
    <w:rsid w:val="00DA2626"/>
    <w:rsid w:val="00DA3986"/>
    <w:rsid w:val="00DA3C4F"/>
    <w:rsid w:val="00DA41DF"/>
    <w:rsid w:val="00DA63B1"/>
    <w:rsid w:val="00DA7408"/>
    <w:rsid w:val="00DA75DF"/>
    <w:rsid w:val="00DA76CD"/>
    <w:rsid w:val="00DB656D"/>
    <w:rsid w:val="00DB7281"/>
    <w:rsid w:val="00DC0D63"/>
    <w:rsid w:val="00DC1085"/>
    <w:rsid w:val="00DC11C5"/>
    <w:rsid w:val="00DC27D9"/>
    <w:rsid w:val="00DC288A"/>
    <w:rsid w:val="00DC436D"/>
    <w:rsid w:val="00DC47DC"/>
    <w:rsid w:val="00DC6B85"/>
    <w:rsid w:val="00DC7A80"/>
    <w:rsid w:val="00DC7F11"/>
    <w:rsid w:val="00DD03FC"/>
    <w:rsid w:val="00DD2C2C"/>
    <w:rsid w:val="00DD4C04"/>
    <w:rsid w:val="00DD516C"/>
    <w:rsid w:val="00DD5CBC"/>
    <w:rsid w:val="00DD645F"/>
    <w:rsid w:val="00DD7B9B"/>
    <w:rsid w:val="00DE02BD"/>
    <w:rsid w:val="00DE1166"/>
    <w:rsid w:val="00DE4A6D"/>
    <w:rsid w:val="00DE6132"/>
    <w:rsid w:val="00DE7830"/>
    <w:rsid w:val="00DF0AC3"/>
    <w:rsid w:val="00DF0C1C"/>
    <w:rsid w:val="00DF0D44"/>
    <w:rsid w:val="00DF1616"/>
    <w:rsid w:val="00DF17EB"/>
    <w:rsid w:val="00DF23A8"/>
    <w:rsid w:val="00DF48A7"/>
    <w:rsid w:val="00DF4AA5"/>
    <w:rsid w:val="00DF5BB5"/>
    <w:rsid w:val="00DF6FA1"/>
    <w:rsid w:val="00DF7148"/>
    <w:rsid w:val="00DF75BB"/>
    <w:rsid w:val="00E019D2"/>
    <w:rsid w:val="00E01AE4"/>
    <w:rsid w:val="00E01B81"/>
    <w:rsid w:val="00E02606"/>
    <w:rsid w:val="00E02FA3"/>
    <w:rsid w:val="00E05758"/>
    <w:rsid w:val="00E061E3"/>
    <w:rsid w:val="00E10D38"/>
    <w:rsid w:val="00E1192D"/>
    <w:rsid w:val="00E124B2"/>
    <w:rsid w:val="00E12C50"/>
    <w:rsid w:val="00E12FD3"/>
    <w:rsid w:val="00E13A80"/>
    <w:rsid w:val="00E150B2"/>
    <w:rsid w:val="00E157E1"/>
    <w:rsid w:val="00E15B0F"/>
    <w:rsid w:val="00E15FCB"/>
    <w:rsid w:val="00E167FF"/>
    <w:rsid w:val="00E16AC4"/>
    <w:rsid w:val="00E176E4"/>
    <w:rsid w:val="00E17860"/>
    <w:rsid w:val="00E21B0B"/>
    <w:rsid w:val="00E21CDE"/>
    <w:rsid w:val="00E2268C"/>
    <w:rsid w:val="00E235B1"/>
    <w:rsid w:val="00E23A1E"/>
    <w:rsid w:val="00E23B30"/>
    <w:rsid w:val="00E24913"/>
    <w:rsid w:val="00E24E64"/>
    <w:rsid w:val="00E253F5"/>
    <w:rsid w:val="00E267AE"/>
    <w:rsid w:val="00E26E87"/>
    <w:rsid w:val="00E27FAC"/>
    <w:rsid w:val="00E31474"/>
    <w:rsid w:val="00E324DC"/>
    <w:rsid w:val="00E337FA"/>
    <w:rsid w:val="00E33E22"/>
    <w:rsid w:val="00E34173"/>
    <w:rsid w:val="00E34445"/>
    <w:rsid w:val="00E34CF7"/>
    <w:rsid w:val="00E3653A"/>
    <w:rsid w:val="00E365A2"/>
    <w:rsid w:val="00E36846"/>
    <w:rsid w:val="00E36D00"/>
    <w:rsid w:val="00E3768D"/>
    <w:rsid w:val="00E37F25"/>
    <w:rsid w:val="00E43DEE"/>
    <w:rsid w:val="00E44E49"/>
    <w:rsid w:val="00E4582C"/>
    <w:rsid w:val="00E45C60"/>
    <w:rsid w:val="00E54C12"/>
    <w:rsid w:val="00E55D9D"/>
    <w:rsid w:val="00E55ED4"/>
    <w:rsid w:val="00E5720C"/>
    <w:rsid w:val="00E5750F"/>
    <w:rsid w:val="00E57B54"/>
    <w:rsid w:val="00E57F7A"/>
    <w:rsid w:val="00E6009C"/>
    <w:rsid w:val="00E603A6"/>
    <w:rsid w:val="00E60EDB"/>
    <w:rsid w:val="00E6141B"/>
    <w:rsid w:val="00E63447"/>
    <w:rsid w:val="00E64317"/>
    <w:rsid w:val="00E6541B"/>
    <w:rsid w:val="00E6644C"/>
    <w:rsid w:val="00E67959"/>
    <w:rsid w:val="00E67F36"/>
    <w:rsid w:val="00E710C4"/>
    <w:rsid w:val="00E73884"/>
    <w:rsid w:val="00E73C51"/>
    <w:rsid w:val="00E7473C"/>
    <w:rsid w:val="00E765B6"/>
    <w:rsid w:val="00E76DAE"/>
    <w:rsid w:val="00E76E0F"/>
    <w:rsid w:val="00E76F90"/>
    <w:rsid w:val="00E77D08"/>
    <w:rsid w:val="00E801FB"/>
    <w:rsid w:val="00E80928"/>
    <w:rsid w:val="00E80C32"/>
    <w:rsid w:val="00E816C0"/>
    <w:rsid w:val="00E82AC9"/>
    <w:rsid w:val="00E83558"/>
    <w:rsid w:val="00E83DA2"/>
    <w:rsid w:val="00E845B7"/>
    <w:rsid w:val="00E851C6"/>
    <w:rsid w:val="00E85485"/>
    <w:rsid w:val="00E8635B"/>
    <w:rsid w:val="00E90ED3"/>
    <w:rsid w:val="00E96116"/>
    <w:rsid w:val="00E96504"/>
    <w:rsid w:val="00E97833"/>
    <w:rsid w:val="00E97CE2"/>
    <w:rsid w:val="00EA01DF"/>
    <w:rsid w:val="00EA09B7"/>
    <w:rsid w:val="00EA1362"/>
    <w:rsid w:val="00EA4A8F"/>
    <w:rsid w:val="00EA56BF"/>
    <w:rsid w:val="00EA6BA4"/>
    <w:rsid w:val="00EB248F"/>
    <w:rsid w:val="00EB27B5"/>
    <w:rsid w:val="00EB4EBE"/>
    <w:rsid w:val="00EB569F"/>
    <w:rsid w:val="00EB6302"/>
    <w:rsid w:val="00EB64FF"/>
    <w:rsid w:val="00EB74AC"/>
    <w:rsid w:val="00EB7F3E"/>
    <w:rsid w:val="00EC2337"/>
    <w:rsid w:val="00EC32FC"/>
    <w:rsid w:val="00EC3505"/>
    <w:rsid w:val="00EC4412"/>
    <w:rsid w:val="00EC6AB2"/>
    <w:rsid w:val="00EC7152"/>
    <w:rsid w:val="00EC7BA7"/>
    <w:rsid w:val="00EC7E65"/>
    <w:rsid w:val="00ED00A4"/>
    <w:rsid w:val="00ED18D5"/>
    <w:rsid w:val="00ED29F6"/>
    <w:rsid w:val="00ED507D"/>
    <w:rsid w:val="00ED5E05"/>
    <w:rsid w:val="00ED6822"/>
    <w:rsid w:val="00EE0CDC"/>
    <w:rsid w:val="00EE10CA"/>
    <w:rsid w:val="00EE12CF"/>
    <w:rsid w:val="00EE2672"/>
    <w:rsid w:val="00EE351F"/>
    <w:rsid w:val="00EF050D"/>
    <w:rsid w:val="00EF1AF2"/>
    <w:rsid w:val="00EF29D1"/>
    <w:rsid w:val="00EF2B7A"/>
    <w:rsid w:val="00EF3B5D"/>
    <w:rsid w:val="00EF45C7"/>
    <w:rsid w:val="00EF470A"/>
    <w:rsid w:val="00EF52FF"/>
    <w:rsid w:val="00EF5A82"/>
    <w:rsid w:val="00EF5CBF"/>
    <w:rsid w:val="00EF7EF1"/>
    <w:rsid w:val="00F000B8"/>
    <w:rsid w:val="00F001CE"/>
    <w:rsid w:val="00F00852"/>
    <w:rsid w:val="00F02F1C"/>
    <w:rsid w:val="00F03B6F"/>
    <w:rsid w:val="00F066EB"/>
    <w:rsid w:val="00F073F5"/>
    <w:rsid w:val="00F07C22"/>
    <w:rsid w:val="00F1174D"/>
    <w:rsid w:val="00F1304E"/>
    <w:rsid w:val="00F136A7"/>
    <w:rsid w:val="00F137A2"/>
    <w:rsid w:val="00F13F93"/>
    <w:rsid w:val="00F16473"/>
    <w:rsid w:val="00F16E6E"/>
    <w:rsid w:val="00F222CF"/>
    <w:rsid w:val="00F228DD"/>
    <w:rsid w:val="00F25794"/>
    <w:rsid w:val="00F27AFE"/>
    <w:rsid w:val="00F30DAD"/>
    <w:rsid w:val="00F3113F"/>
    <w:rsid w:val="00F315AF"/>
    <w:rsid w:val="00F3165B"/>
    <w:rsid w:val="00F3271E"/>
    <w:rsid w:val="00F34595"/>
    <w:rsid w:val="00F377FC"/>
    <w:rsid w:val="00F40DB1"/>
    <w:rsid w:val="00F423D1"/>
    <w:rsid w:val="00F4523A"/>
    <w:rsid w:val="00F4526E"/>
    <w:rsid w:val="00F463FB"/>
    <w:rsid w:val="00F46C2A"/>
    <w:rsid w:val="00F476F9"/>
    <w:rsid w:val="00F50540"/>
    <w:rsid w:val="00F50B2D"/>
    <w:rsid w:val="00F52A77"/>
    <w:rsid w:val="00F52DB3"/>
    <w:rsid w:val="00F542AE"/>
    <w:rsid w:val="00F54C6E"/>
    <w:rsid w:val="00F54E3B"/>
    <w:rsid w:val="00F55C71"/>
    <w:rsid w:val="00F6125C"/>
    <w:rsid w:val="00F61DEC"/>
    <w:rsid w:val="00F628EE"/>
    <w:rsid w:val="00F64E69"/>
    <w:rsid w:val="00F66021"/>
    <w:rsid w:val="00F66FCA"/>
    <w:rsid w:val="00F67594"/>
    <w:rsid w:val="00F705AA"/>
    <w:rsid w:val="00F71C2D"/>
    <w:rsid w:val="00F723DC"/>
    <w:rsid w:val="00F72406"/>
    <w:rsid w:val="00F74F75"/>
    <w:rsid w:val="00F76C78"/>
    <w:rsid w:val="00F77A65"/>
    <w:rsid w:val="00F87E89"/>
    <w:rsid w:val="00F87EA7"/>
    <w:rsid w:val="00F9030F"/>
    <w:rsid w:val="00F92A66"/>
    <w:rsid w:val="00F92AB1"/>
    <w:rsid w:val="00F939E1"/>
    <w:rsid w:val="00F94986"/>
    <w:rsid w:val="00F95D36"/>
    <w:rsid w:val="00F97EFA"/>
    <w:rsid w:val="00FA04C5"/>
    <w:rsid w:val="00FA0C51"/>
    <w:rsid w:val="00FA13C8"/>
    <w:rsid w:val="00FA1D75"/>
    <w:rsid w:val="00FA4C1A"/>
    <w:rsid w:val="00FB0D50"/>
    <w:rsid w:val="00FB1DC5"/>
    <w:rsid w:val="00FB6451"/>
    <w:rsid w:val="00FB70F6"/>
    <w:rsid w:val="00FB7736"/>
    <w:rsid w:val="00FC003F"/>
    <w:rsid w:val="00FC0C99"/>
    <w:rsid w:val="00FC1788"/>
    <w:rsid w:val="00FC33BB"/>
    <w:rsid w:val="00FC3860"/>
    <w:rsid w:val="00FC4F66"/>
    <w:rsid w:val="00FC510C"/>
    <w:rsid w:val="00FC68F5"/>
    <w:rsid w:val="00FC6C63"/>
    <w:rsid w:val="00FC7121"/>
    <w:rsid w:val="00FC739C"/>
    <w:rsid w:val="00FD0387"/>
    <w:rsid w:val="00FD0A48"/>
    <w:rsid w:val="00FD0C9B"/>
    <w:rsid w:val="00FD395A"/>
    <w:rsid w:val="00FD4636"/>
    <w:rsid w:val="00FD5473"/>
    <w:rsid w:val="00FD567B"/>
    <w:rsid w:val="00FD6C86"/>
    <w:rsid w:val="00FD7DE3"/>
    <w:rsid w:val="00FE1080"/>
    <w:rsid w:val="00FE1F83"/>
    <w:rsid w:val="00FE436E"/>
    <w:rsid w:val="00FE47C1"/>
    <w:rsid w:val="00FE4A65"/>
    <w:rsid w:val="00FE6C29"/>
    <w:rsid w:val="00FE6F65"/>
    <w:rsid w:val="00FE7E5C"/>
    <w:rsid w:val="00FF12B9"/>
    <w:rsid w:val="00FF2CC7"/>
    <w:rsid w:val="00FF370D"/>
    <w:rsid w:val="00FF4A69"/>
    <w:rsid w:val="00FF6030"/>
    <w:rsid w:val="00FF625D"/>
    <w:rsid w:val="00FF6C9A"/>
    <w:rsid w:val="00FF7D59"/>
    <w:rsid w:val="00FF7E14"/>
    <w:rsid w:val="03F75158"/>
    <w:rsid w:val="0CF14DEC"/>
    <w:rsid w:val="1F7F582C"/>
    <w:rsid w:val="264A41F9"/>
    <w:rsid w:val="39CD5EE1"/>
    <w:rsid w:val="43FCF288"/>
    <w:rsid w:val="4CDD7C2A"/>
    <w:rsid w:val="51FF3EF3"/>
    <w:rsid w:val="53191DBD"/>
    <w:rsid w:val="5E7F159B"/>
    <w:rsid w:val="5F2FA941"/>
    <w:rsid w:val="66E3765F"/>
    <w:rsid w:val="672B3E13"/>
    <w:rsid w:val="6EED571F"/>
    <w:rsid w:val="6FFF2117"/>
    <w:rsid w:val="70FE0017"/>
    <w:rsid w:val="71C2765A"/>
    <w:rsid w:val="75555BC0"/>
    <w:rsid w:val="776BD363"/>
    <w:rsid w:val="7D51AB05"/>
    <w:rsid w:val="7EBE459F"/>
    <w:rsid w:val="7F71F1F0"/>
    <w:rsid w:val="7FDBBC5B"/>
    <w:rsid w:val="BBD6D1A1"/>
    <w:rsid w:val="CBBF1F58"/>
    <w:rsid w:val="E35A96E0"/>
    <w:rsid w:val="F6F53FEA"/>
    <w:rsid w:val="F96B7BD4"/>
    <w:rsid w:val="FCDDC8E9"/>
    <w:rsid w:val="FEAF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7"/>
    <w:qFormat/>
    <w:uiPriority w:val="9"/>
    <w:pPr>
      <w:keepNext/>
      <w:keepLines/>
      <w:spacing w:before="100" w:beforeAutospacing="1" w:after="100" w:afterAutospacing="1"/>
      <w:ind w:firstLine="0" w:firstLineChars="0"/>
      <w:jc w:val="center"/>
      <w:outlineLvl w:val="0"/>
    </w:pPr>
    <w:rPr>
      <w:rFonts w:ascii="黑体" w:hAnsi="黑体" w:eastAsia="黑体"/>
      <w:bCs/>
      <w:kern w:val="44"/>
      <w:sz w:val="44"/>
      <w:szCs w:val="44"/>
    </w:rPr>
  </w:style>
  <w:style w:type="paragraph" w:styleId="3">
    <w:name w:val="heading 2"/>
    <w:basedOn w:val="1"/>
    <w:next w:val="1"/>
    <w:link w:val="18"/>
    <w:unhideWhenUsed/>
    <w:qFormat/>
    <w:uiPriority w:val="9"/>
    <w:pPr>
      <w:keepNext/>
      <w:keepLines/>
      <w:ind w:firstLine="0" w:firstLineChars="0"/>
      <w:jc w:val="center"/>
      <w:outlineLvl w:val="1"/>
    </w:pPr>
    <w:rPr>
      <w:rFonts w:ascii="黑体" w:hAnsi="黑体" w:eastAsia="黑体" w:cstheme="majorBidi"/>
      <w:bCs/>
      <w:sz w:val="36"/>
      <w:szCs w:val="36"/>
    </w:rPr>
  </w:style>
  <w:style w:type="paragraph" w:styleId="4">
    <w:name w:val="heading 3"/>
    <w:basedOn w:val="1"/>
    <w:next w:val="1"/>
    <w:link w:val="22"/>
    <w:unhideWhenUsed/>
    <w:qFormat/>
    <w:uiPriority w:val="9"/>
    <w:pPr>
      <w:keepNext/>
      <w:keepLines/>
      <w:ind w:left="641" w:firstLine="0" w:firstLineChars="0"/>
      <w:outlineLvl w:val="2"/>
    </w:pPr>
    <w:rPr>
      <w:rFonts w:eastAsia="楷体_GB2312"/>
      <w:b/>
      <w:bCs/>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23"/>
    <w:semiHidden/>
    <w:unhideWhenUsed/>
    <w:qFormat/>
    <w:uiPriority w:val="99"/>
    <w:pPr>
      <w:ind w:left="100" w:leftChars="2500"/>
    </w:pPr>
  </w:style>
  <w:style w:type="paragraph" w:styleId="7">
    <w:name w:val="footer"/>
    <w:basedOn w:val="1"/>
    <w:link w:val="20"/>
    <w:unhideWhenUsed/>
    <w:qFormat/>
    <w:uiPriority w:val="99"/>
    <w:pPr>
      <w:tabs>
        <w:tab w:val="center" w:pos="4153"/>
        <w:tab w:val="right" w:pos="8306"/>
      </w:tabs>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styleId="16">
    <w:name w:val="List Paragraph"/>
    <w:basedOn w:val="1"/>
    <w:qFormat/>
    <w:uiPriority w:val="34"/>
    <w:pPr>
      <w:ind w:firstLine="420"/>
    </w:pPr>
  </w:style>
  <w:style w:type="character" w:customStyle="1" w:styleId="17">
    <w:name w:val="标题 1 字符"/>
    <w:basedOn w:val="13"/>
    <w:link w:val="2"/>
    <w:qFormat/>
    <w:uiPriority w:val="9"/>
    <w:rPr>
      <w:rFonts w:ascii="黑体" w:hAnsi="黑体" w:eastAsia="黑体" w:cstheme="minorBidi"/>
      <w:bCs/>
      <w:kern w:val="44"/>
      <w:sz w:val="44"/>
      <w:szCs w:val="44"/>
    </w:rPr>
  </w:style>
  <w:style w:type="character" w:customStyle="1" w:styleId="18">
    <w:name w:val="标题 2 字符"/>
    <w:basedOn w:val="13"/>
    <w:link w:val="3"/>
    <w:qFormat/>
    <w:uiPriority w:val="9"/>
    <w:rPr>
      <w:rFonts w:ascii="黑体" w:hAnsi="黑体" w:eastAsia="黑体" w:cstheme="majorBidi"/>
      <w:bCs/>
      <w:kern w:val="2"/>
      <w:sz w:val="36"/>
      <w:szCs w:val="36"/>
    </w:rPr>
  </w:style>
  <w:style w:type="character" w:customStyle="1" w:styleId="19">
    <w:name w:val="页眉 字符"/>
    <w:basedOn w:val="13"/>
    <w:link w:val="8"/>
    <w:qFormat/>
    <w:uiPriority w:val="99"/>
    <w:rPr>
      <w:rFonts w:ascii="Times New Roman" w:hAnsi="Times New Roman" w:eastAsia="仿宋"/>
      <w:sz w:val="18"/>
      <w:szCs w:val="18"/>
    </w:rPr>
  </w:style>
  <w:style w:type="character" w:customStyle="1" w:styleId="20">
    <w:name w:val="页脚 字符"/>
    <w:basedOn w:val="13"/>
    <w:link w:val="7"/>
    <w:qFormat/>
    <w:uiPriority w:val="99"/>
    <w:rPr>
      <w:rFonts w:ascii="Times New Roman" w:hAnsi="Times New Roman" w:eastAsia="仿宋"/>
      <w:sz w:val="18"/>
      <w:szCs w:val="18"/>
    </w:rPr>
  </w:style>
  <w:style w:type="paragraph" w:customStyle="1" w:styleId="21">
    <w:name w:val="TOC 标题1"/>
    <w:basedOn w:val="2"/>
    <w:next w:val="1"/>
    <w:unhideWhenUsed/>
    <w:qFormat/>
    <w:uiPriority w:val="39"/>
    <w:pPr>
      <w:widowControl/>
      <w:adjustRightInd/>
      <w:snapToGrid/>
      <w:spacing w:before="240" w:after="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character" w:customStyle="1" w:styleId="22">
    <w:name w:val="标题 3 字符"/>
    <w:basedOn w:val="13"/>
    <w:link w:val="4"/>
    <w:qFormat/>
    <w:uiPriority w:val="9"/>
    <w:rPr>
      <w:rFonts w:eastAsia="楷体_GB2312" w:cstheme="minorBidi"/>
      <w:b/>
      <w:bCs/>
      <w:kern w:val="2"/>
      <w:sz w:val="32"/>
      <w:szCs w:val="32"/>
    </w:rPr>
  </w:style>
  <w:style w:type="character" w:customStyle="1" w:styleId="23">
    <w:name w:val="日期 字符"/>
    <w:basedOn w:val="13"/>
    <w:link w:val="6"/>
    <w:semiHidden/>
    <w:qFormat/>
    <w:uiPriority w:val="99"/>
    <w:rPr>
      <w:rFonts w:eastAsia="仿宋" w:cstheme="minorBidi"/>
      <w:kern w:val="2"/>
      <w:sz w:val="28"/>
      <w:szCs w:val="22"/>
    </w:rPr>
  </w:style>
  <w:style w:type="table" w:customStyle="1" w:styleId="24">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
    <w:name w:val="Table Paragraph"/>
    <w:basedOn w:val="1"/>
    <w:qFormat/>
    <w:uiPriority w:val="1"/>
    <w:pPr>
      <w:autoSpaceDE w:val="0"/>
      <w:autoSpaceDN w:val="0"/>
      <w:adjustRightInd/>
      <w:snapToGrid/>
      <w:spacing w:line="240" w:lineRule="auto"/>
      <w:ind w:firstLine="0" w:firstLineChars="0"/>
      <w:jc w:val="center"/>
    </w:pPr>
    <w:rPr>
      <w:rFonts w:ascii="宋体" w:hAnsi="宋体" w:eastAsia="宋体" w:cs="宋体"/>
      <w:kern w:val="0"/>
      <w:sz w:val="22"/>
    </w:rPr>
  </w:style>
  <w:style w:type="character" w:customStyle="1" w:styleId="26">
    <w:name w:val="标题 4 字符"/>
    <w:basedOn w:val="13"/>
    <w:link w:val="5"/>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Microsoft%20Word%20&#20013;&#30340;&#22270;&#34920;"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zh-CN" altLang="zh-CN" sz="1600" b="1" i="0" u="none" strike="noStrike" baseline="0">
                <a:effectLst/>
              </a:rPr>
              <a:t>达州</a:t>
            </a:r>
            <a:r>
              <a:rPr lang="zh-CN" altLang="en-US" sz="1600" b="1" i="0" u="none" strike="noStrike" baseline="0">
                <a:effectLst/>
              </a:rPr>
              <a:t>各县市区</a:t>
            </a:r>
            <a:r>
              <a:rPr lang="zh-CN" altLang="zh-CN" sz="1600" b="1" i="0" u="none" strike="noStrike" baseline="0">
                <a:effectLst/>
              </a:rPr>
              <a:t>粮油应急供应网点数量</a:t>
            </a:r>
            <a:r>
              <a:rPr lang="zh-CN" altLang="en-US"/>
              <a:t>（个）</a:t>
            </a:r>
            <a:endParaRPr lang="zh-CN" altLang="en-US"/>
          </a:p>
        </c:rich>
      </c:tx>
      <c:layout/>
      <c:overlay val="0"/>
      <c:spPr>
        <a:noFill/>
        <a:ln>
          <a:noFill/>
        </a:ln>
        <a:effectLst/>
      </c:spPr>
    </c:title>
    <c:autoTitleDeleted val="0"/>
    <c:plotArea>
      <c:layout/>
      <c:barChart>
        <c:barDir val="col"/>
        <c:grouping val="clustered"/>
        <c:varyColors val="0"/>
        <c:ser>
          <c:idx val="0"/>
          <c:order val="0"/>
          <c:tx>
            <c:strRef>
              <c:f>'[Microsoft Word 中的图表]Sheet1'!$B$1</c:f>
              <c:strCache>
                <c:ptCount val="1"/>
                <c:pt idx="0">
                  <c:v>2022年粮食应急供应网点（个）</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'[Microsoft Word 中的图表]Sheet1'!$A$2:$A$8</c:f>
              <c:strCache>
                <c:ptCount val="7"/>
                <c:pt idx="0">
                  <c:v>宣汉县</c:v>
                </c:pt>
                <c:pt idx="1">
                  <c:v>开江县</c:v>
                </c:pt>
                <c:pt idx="2">
                  <c:v>大竹县</c:v>
                </c:pt>
                <c:pt idx="3">
                  <c:v>渠县</c:v>
                </c:pt>
                <c:pt idx="4">
                  <c:v>通川区</c:v>
                </c:pt>
                <c:pt idx="5">
                  <c:v>达川区</c:v>
                </c:pt>
                <c:pt idx="6">
                  <c:v>万源市</c:v>
                </c:pt>
              </c:strCache>
            </c:strRef>
          </c:cat>
          <c:val>
            <c:numRef>
              <c:f>'[Microsoft Word 中的图表]Sheet1'!$B$2:$B$8</c:f>
              <c:numCache>
                <c:formatCode>General</c:formatCode>
                <c:ptCount val="7"/>
                <c:pt idx="0">
                  <c:v>45</c:v>
                </c:pt>
                <c:pt idx="1">
                  <c:v>21</c:v>
                </c:pt>
                <c:pt idx="2">
                  <c:v>34</c:v>
                </c:pt>
                <c:pt idx="3">
                  <c:v>40</c:v>
                </c:pt>
                <c:pt idx="4">
                  <c:v>22</c:v>
                </c:pt>
                <c:pt idx="5">
                  <c:v>24</c:v>
                </c:pt>
                <c:pt idx="6">
                  <c:v>35</c:v>
                </c:pt>
              </c:numCache>
            </c:numRef>
          </c:val>
        </c:ser>
        <c:dLbls>
          <c:showLegendKey val="0"/>
          <c:showVal val="1"/>
          <c:showCatName val="0"/>
          <c:showSerName val="0"/>
          <c:showPercent val="0"/>
          <c:showBubbleSize val="0"/>
        </c:dLbls>
        <c:gapWidth val="75"/>
        <c:overlap val="-25"/>
        <c:axId val="420372904"/>
        <c:axId val="420373232"/>
      </c:barChart>
      <c:catAx>
        <c:axId val="420372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0373232"/>
        <c:crosses val="autoZero"/>
        <c:auto val="1"/>
        <c:lblAlgn val="ctr"/>
        <c:lblOffset val="100"/>
        <c:noMultiLvlLbl val="0"/>
      </c:catAx>
      <c:valAx>
        <c:axId val="42037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0372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2504</Words>
  <Characters>14278</Characters>
  <Lines>118</Lines>
  <Paragraphs>33</Paragraphs>
  <TotalTime>2047</TotalTime>
  <ScaleCrop>false</ScaleCrop>
  <LinksUpToDate>false</LinksUpToDate>
  <CharactersWithSpaces>16749</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2022-09-22T22:39:00Z</dcterms:created>
  <dc:creator>user</dc:creator>
  <cp:lastModifiedBy>user</cp:lastModifiedBy>
  <cp:lastPrinted>2022-07-16T17:22:00Z</cp:lastPrinted>
  <dcterms:modified xsi:type="dcterms:W3CDTF">2022-10-24T14:53:39Z</dcterms:modified>
  <cp:revision>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4F14736E58064606840BFAB5A8F78636</vt:lpwstr>
  </property>
</Properties>
</file>