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达州市</w:t>
      </w:r>
      <w:r>
        <w:rPr>
          <w:rFonts w:hint="eastAsia" w:ascii="Times New Roman" w:hAnsi="Times New Roman" w:eastAsia="方正小标宋简体" w:cs="Times New Roman"/>
          <w:sz w:val="40"/>
          <w:szCs w:val="40"/>
          <w:lang w:eastAsia="zh-CN"/>
        </w:rPr>
        <w:t>公安局</w:t>
      </w:r>
      <w:r>
        <w:rPr>
          <w:rFonts w:hint="eastAsia" w:ascii="Times New Roman" w:hAnsi="Times New Roman" w:eastAsia="方正小标宋简体" w:cs="Times New Roman"/>
          <w:sz w:val="40"/>
          <w:szCs w:val="40"/>
        </w:rPr>
        <w:t>“</w:t>
      </w:r>
      <w:r>
        <w:rPr>
          <w:rFonts w:hint="eastAsia" w:ascii="Times New Roman" w:hAnsi="Times New Roman" w:eastAsia="方正小标宋简体" w:cs="Times New Roman"/>
          <w:sz w:val="40"/>
          <w:szCs w:val="40"/>
          <w:lang w:val="en-US" w:eastAsia="zh-CN"/>
        </w:rPr>
        <w:t>70个天网点位设备更换</w:t>
      </w:r>
      <w:r>
        <w:rPr>
          <w:rFonts w:hint="eastAsia" w:ascii="Times New Roman" w:hAnsi="Times New Roman" w:eastAsia="方正小标宋简体" w:cs="Times New Roman"/>
          <w:sz w:val="40"/>
          <w:szCs w:val="40"/>
        </w:rPr>
        <w:t>”</w:t>
      </w:r>
      <w:r>
        <w:rPr>
          <w:rFonts w:hint="default" w:ascii="Times New Roman" w:hAnsi="Times New Roman" w:eastAsia="方正小标宋简体" w:cs="Times New Roman"/>
          <w:sz w:val="40"/>
          <w:szCs w:val="40"/>
        </w:rPr>
        <w:t>项目初步报价函</w:t>
      </w:r>
    </w:p>
    <w:p>
      <w:pPr>
        <w:spacing w:line="578"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达州市公安局：</w:t>
      </w:r>
    </w:p>
    <w:p>
      <w:pPr>
        <w:spacing w:line="578" w:lineRule="exact"/>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根据《达州市</w:t>
      </w:r>
      <w:r>
        <w:rPr>
          <w:rFonts w:hint="eastAsia" w:ascii="Times New Roman" w:hAnsi="Times New Roman" w:eastAsia="仿宋_GB2312" w:cs="Times New Roman"/>
          <w:sz w:val="32"/>
          <w:szCs w:val="32"/>
          <w:lang w:eastAsia="zh-CN"/>
        </w:rPr>
        <w:t>公安局</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70个天网点位设备更换</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项目初步报价函》相关项目需求，结合</w:t>
      </w:r>
      <w:r>
        <w:rPr>
          <w:rFonts w:hint="eastAsia" w:ascii="Times New Roman" w:hAnsi="Times New Roman" w:eastAsia="仿宋_GB2312" w:cs="Times New Roman"/>
          <w:sz w:val="32"/>
          <w:szCs w:val="32"/>
          <w:lang w:val="en-US" w:eastAsia="zh-CN"/>
        </w:rPr>
        <w:t>我公司</w:t>
      </w:r>
      <w:r>
        <w:rPr>
          <w:rFonts w:hint="default" w:ascii="Times New Roman" w:hAnsi="Times New Roman" w:eastAsia="仿宋_GB2312" w:cs="Times New Roman"/>
          <w:sz w:val="32"/>
          <w:szCs w:val="32"/>
        </w:rPr>
        <w:t>产品特点和相关项目实施</w:t>
      </w:r>
      <w:r>
        <w:rPr>
          <w:rFonts w:hint="eastAsia"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验，初步报价如下表所示：</w:t>
      </w:r>
    </w:p>
    <w:p>
      <w:pPr>
        <w:pStyle w:val="2"/>
        <w:rPr>
          <w:rFonts w:hint="default" w:ascii="Times New Roman" w:hAnsi="Times New Roman" w:cs="Times New Roman"/>
        </w:rPr>
      </w:pPr>
    </w:p>
    <w:tbl>
      <w:tblPr>
        <w:tblStyle w:val="7"/>
        <w:tblW w:w="132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0"/>
        <w:gridCol w:w="4800"/>
        <w:gridCol w:w="1800"/>
        <w:gridCol w:w="1800"/>
        <w:gridCol w:w="1333"/>
        <w:gridCol w:w="1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产品</w:t>
            </w:r>
          </w:p>
        </w:tc>
        <w:tc>
          <w:tcPr>
            <w:tcW w:w="4800"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产品描述</w:t>
            </w:r>
          </w:p>
        </w:tc>
        <w:tc>
          <w:tcPr>
            <w:tcW w:w="1800"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是否符合需求</w:t>
            </w:r>
          </w:p>
        </w:tc>
        <w:tc>
          <w:tcPr>
            <w:tcW w:w="1800"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单价</w:t>
            </w:r>
          </w:p>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（万元）</w:t>
            </w:r>
          </w:p>
        </w:tc>
        <w:tc>
          <w:tcPr>
            <w:tcW w:w="1333"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1692" w:type="dxa"/>
            <w:tcBorders>
              <w:top w:val="single" w:color="000000" w:sz="4" w:space="0"/>
              <w:left w:val="single" w:color="000000" w:sz="4" w:space="0"/>
              <w:bottom w:val="single" w:color="000000" w:sz="4" w:space="0"/>
              <w:right w:val="single" w:color="000000" w:sz="4" w:space="0"/>
            </w:tcBorders>
            <w:shd w:val="clear" w:color="auto" w:fill="96969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0000"/>
                <w:kern w:val="0"/>
                <w:sz w:val="24"/>
                <w:szCs w:val="24"/>
                <w:u w:val="none"/>
                <w:lang w:val="en-US" w:eastAsia="zh-CN" w:bidi="ar"/>
              </w:rPr>
            </w:pPr>
            <w:r>
              <w:rPr>
                <w:rFonts w:hint="eastAsia" w:ascii="微软雅黑" w:hAnsi="微软雅黑" w:eastAsia="微软雅黑" w:cs="微软雅黑"/>
                <w:b/>
                <w:bCs/>
                <w:i w:val="0"/>
                <w:iCs w:val="0"/>
                <w:color w:val="FF0000"/>
                <w:kern w:val="0"/>
                <w:sz w:val="24"/>
                <w:szCs w:val="24"/>
                <w:u w:val="none"/>
                <w:lang w:val="en-US" w:eastAsia="zh-CN" w:bidi="ar"/>
              </w:rPr>
              <w:t>报价</w:t>
            </w:r>
          </w:p>
          <w:p>
            <w:pPr>
              <w:keepNext w:val="0"/>
              <w:keepLines w:val="0"/>
              <w:widowControl/>
              <w:suppressLineNumbers w:val="0"/>
              <w:jc w:val="center"/>
              <w:textAlignment w:val="center"/>
              <w:rPr>
                <w:rFonts w:hint="eastAsia" w:ascii="微软雅黑" w:hAnsi="微软雅黑" w:eastAsia="微软雅黑" w:cs="微软雅黑"/>
                <w:b/>
                <w:bCs/>
                <w:i w:val="0"/>
                <w:iCs w:val="0"/>
                <w:color w:val="FF0000"/>
                <w:sz w:val="24"/>
                <w:szCs w:val="24"/>
                <w:u w:val="none"/>
              </w:rPr>
            </w:pPr>
            <w:r>
              <w:rPr>
                <w:rFonts w:hint="eastAsia" w:ascii="微软雅黑" w:hAnsi="微软雅黑" w:eastAsia="微软雅黑" w:cs="微软雅黑"/>
                <w:b/>
                <w:bCs/>
                <w:i w:val="0"/>
                <w:iCs w:val="0"/>
                <w:color w:val="FF0000"/>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400万灵动双摄云台摄像机</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 内置GPU芯片，支持深度学习算法。</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 采用超星光超低照度≥1/1.8英寸CMOS图像传感器，可输出≥2688×1520@25fps。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 内置高效暖光补光灯，监控距离≥65米。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 支持四种智能资源切换：通用行为分析、人脸检测、结构化、人数统计。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 支持机动车、非机动车、人脸、人员等目标的抓拍和属性识别。</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 可对设定区域内≥120个人脸目标进行检测跟踪和抓拍；可对设定区域内≥360张静止人脸图片进行检测。</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 支持自动聚焦、自动调节光圈及一键聚焦</w:t>
            </w:r>
            <w:bookmarkStart w:id="0" w:name="_GoBack"/>
            <w:bookmarkEnd w:id="0"/>
            <w:r>
              <w:rPr>
                <w:rFonts w:hint="eastAsia" w:ascii="微软雅黑" w:hAnsi="微软雅黑" w:eastAsia="微软雅黑" w:cs="微软雅黑"/>
                <w:i w:val="0"/>
                <w:iCs w:val="0"/>
                <w:color w:val="000000"/>
                <w:kern w:val="0"/>
                <w:sz w:val="20"/>
                <w:szCs w:val="20"/>
                <w:u w:val="none"/>
                <w:lang w:val="en-US" w:eastAsia="zh-CN" w:bidi="ar"/>
              </w:rPr>
              <w:t>。</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 焦距位置发生变化后，当设备待机时间达到设定值时，可自动调节焦距到预先设定的位置；可设置焦距预置位以记录不同焦距位置，调用焦距预置位可自动调整焦距到对应位置。</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9. 支持走廊模式，宽动态，3D降噪，强光抑制，背光补偿，数字水印，适用不同监控环境。</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10. 支持报警≥3进≥2出，音频≥2进≥1出，485，BNC，最大支持≥256G Micro SD卡。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11.支持DC12V供电方式，支持12V电源返送，最大电流165mA,方便工程安装。</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12. 支持IP67防护等级。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140台</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万向节支架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安装方式：面装；承重：5.0kg；外观颜色：银色。</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140个</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多摄400W双光网络球机</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 内置GPU芯片，支持深度学习算法，有效提升检测准确率；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 传感器类型：全景1/1.8英寸CMOS，细节1/1.8英寸CMOS；像素：全景≥400万，细节≥400万；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 镜头焦距：全景2.8~12mm，细节5.4mm~135mm；光学变倍：全景≥4倍，细节≥25倍；</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 全景相机：水平范围：0°～360°连续旋转，垂直范围： 0°～30°；细节相机：水平范围：0°～305°，垂直范围： -10°～90°；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 细节摄像机云台定位准确度小于等于0.01°。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 全景相机内置≥30米白光灯补光，采用暖色调和柔化处理，有效降低炫目程度；细节相机内置≥100米红外灯补光，采用倍率与红外灯功率匹配算法，补光效果更均匀；</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 支持视频结构化功能：支持机动车抓拍、机动车属性提取，支持非机动车抓拍、非机动车属性提取，支持人体抓拍、人体属性提取，支持人脸抓拍、人脸属性提取；</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 支持人脸检测；支持人脸优选抓拍；支持人脸增强；支持人脸属性提取；支持6种属性8种表情：性别，年龄，眼镜，表情（高兴、惊讶、平静、愤怒、悲伤、厌恶、困惑、害怕），口罩，胡子；支持多种人脸抠图方案设置：人脸，单寸照；支持人脸识别；</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9. 支持绊线入侵、区域入侵、穿越围栏、徘徊、物品遗留、物品搬移、快速移动、停车、人员聚集检测；支持人车分类报警；支持联动跟踪。</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10. 支持快速智能切换，当更换当前智能模式时设备不需重启，新智能使能后即可生效。</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11. 跟踪目标分类可设置，当选择的分类目标触发规则之后进行目标联动跟踪，变倍跟踪，跟踪时间可选择。</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12. 支持H.265编码，实现超低码流传输；</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13. 支持≥1路音频输入和≥1路音频输出；内置≥2路报警输入和≥1路报警输出，支持报警联动功能；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14. 可通过卡扣方式固定。</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15. 支持IP67防护等级，8000V防雷、防浪涌和防突波保护。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70台</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TF卡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 TLC晶元，擦写次数500次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 标称容量128GB</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 Class10（读95MB/s，写27MB/s）</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210张</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一体式太阳能球机</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 采用200万像素1/2.8英寸CMOS 传感器；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 镜头焦距：4.8mm~110mm；光学变倍≥23倍；</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 内置150米红外灯补光，采用倍率与红外灯功率匹配算法，补光效果更均匀；</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 支持星光级低照度，彩色：0.005Lux@F1.6 黑白：0.0005Lux@F1.6；</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 支持绊线入侵，支持区域入侵，支持穿越围栏，支持徘徊检测，支持物品遗留，支持物品搬移，支持快速移动，支持停车检测，支持人员聚集，支持人车分类报警；</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 支持人脸检测；支持人脸轨迹框；支持抓拍；支持人脸增强；支持人脸抠图区域可设：人脸，单寸照；支持实时抓拍，质量优先二种抓拍策略；</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 支持4G功能，方便入网；</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 水平方向360°连续旋转，垂直方向-20°～90°自动翻转180°后连续监控,无监控盲区；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9. 支持300个预置位，8条巡航路径，5条巡迹路径；</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10. 支持IP66防护等级，6000V防雷、防浪涌和防突波保护；</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11. 支持DC12V（-10%~+25%）宽电压输入；</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12. 搭载具有良好低温特性的三元锂电池、配备高效的100W单晶太阳能组件，支持多角度调整，可适用不同纬度部署。</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2台</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接入服务器</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 2U双路标准机架式服务器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 CPU：配置1颗4210R处理器，核数≥10核，主频≥2.4GHz</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 内存：配置64G DDR4，16根内存插槽，最大支持扩展至2TB内存</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 硬盘：配置2块1.2T 10K 2.5寸 SAS硬盘；   最高支持12块3.5寸(兼容2.5寸)热插拔SAS/SATA硬盘，支持可选2块后置热插拔2.5寸硬盘</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 阵列卡：配置SAS_HBA卡，支持RAID 0/1/10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 PCIE扩展：支持6个PCIE扩展插槽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 网口：板载2个千兆电口；   支持选配10GbE、25GbE SFP+等多种网络接口</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 其他接口：1个RJ45管理接口，后置2个USB 3.0接口，前置2个USB2.0接口，1个VGA接口</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9. 电源：标配550W（1+1）高效铂金CRPS冗余电源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1台</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视频云管理软件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 支持集群管理功能，包括集群单元弹性扩容、负载均衡、故障迁移等；支持集群节点生命周期管理，支持集群节点服务启动/停止，集群节点服务组建、扩展、删除。</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 一套云存储系统可对外提供多种类型数据混合存储，同时支持分布式流式存储，分布式对象存储、分布式文件存储、分布式块存储；支持一套云存储系统包含16,24,36,48,64,72盘位多种型号设备。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 负载均衡：1.节点离线、磁盘离线、节点过载、扩容存储节点，自动调整录像、图片、结构化、对象、HDFS业务，实现集群均衡负载；2.域内节点部分带缓存加速盘，部分不带缓存加速盘，图片数据可自动路由存储缓存加速盘。</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 支持按照存储节点、存储卷的可用剩余容量进行业务均衡；支持云内所有节点根据负载情况自动负载均衡，系统定期进行均衡负载，自动进行系统资源分配；支持双层负载均衡，支持存储节点级和硬盘级均按照负载和容量进行均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 云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 可同时提供7类数据存储服务，15种存储协议，构建统一数据湖。存储服务包含：流式存储-视频存储（GB/T 28181、RTSP、Onvif）、流式存储-图片存储（GA/T 1400.4、REST）、NAS文件存储（NFS、CIFS、FTP）、对象存储（S3、OSS）、块存储（iSCSI，FC）、大数据存储（HDFS）、结构化数据存储(REST、原生ElasticSearch http接口协议)；同时系统支持HDFS文件数据存储服务，支持大数据组件MapReduce、Hive、Spark、Flink、ElasticSearch、Hbase接入，HDFS数据存储可同时提供多副本、Erasure Code数据保护机制；支持Cinder插件，为第三方云计算提供云硬盘服务；支持CSI容器存储接口标准，通过标准NFS、iscsi协议兼容容器编排平台，CSI（容器存储接口）插件将块存储资源、文件存储资源作为持久化数据服务提供给容器应用。支持多协议间数据互通(以对象协议上传的数据通过NAS协议提取，支持以NAS协议上传的数据通过对象协议获取)。</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 支持超融合架构服务模式，利用云原生架构与容器技术，将设备内的计算、网络、存储资源进行虚拟化，对外可同时提供虚拟机、容器、流式存储-视频存储（GB/T 28181、RTSP、Onvif）、流式存储-图片存储（GA/T 1400.4）、NAS文件存储（NFS、CIFS、FTP）、对象存储（S3、OSS）、块存储（iSCSI，FC）、大数据存储（HDFS）、结构化数据存储(REST、原生ElasticSearch http接口)服务。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 云存储系统支持对数据进行加密存储保护，加密算法兼容AES加密、SM4加密算法；加密方式支持软加密（AES 128、AES 256）、硬加密（加密卡和KMS服务器）。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9. 系统支持媒体数据智能处理能力，其中视频文件数据支持在线点播、格式转换(支持将ps流转换为MP4前置/后置索引、TS、ASF、ES、FLV、AVI格式;支持将AVI、3gpp、MP4、es、ts、rtp、hik、svac等视频文件格式转换为PS封装的H.264、H.265编码格式)、视频文件封面。支持多画面合成，对多路（4路、6路、8路）视频画面按时间同步合成显示到同一画面（一路码流）。图片数据支持在线裁减、压缩、马赛克、缩放、水印等处理能力，处理后图片数据格式不变。</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10. 支持对集群资源池的容量进行实时监控与趋势分析的前检测，对资源池可用的剩余天数和提前覆盖时间进行预测和预警提示；支持对存储数据视频质量进行后检测，如图像清晰度异常，亮度异常等，支持对录像数据中音频异常，音频中有无人声的检测。</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11. 一套云存储系统同时支持 iSCSI 协议（IP-SAN）、FC 协议（FC-SAN）、NFS/CIFS 协议（NAS）、亚马逊S3协议、阿里OSS协议等异构接入第三方存储，通过虚拟化功能将存储资源统一管理和分配、流直存方式实现视音频数据直写、存储资源池生命周期自主管理。同时支持对存储资源自动分配，当异构服务器宕机，业务和异构存储资源漂移到集群内正常异构服务器，业务不中断、数据不丢失。</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12. 系统同时提供多副本、Erasure Code数据保护机制，其中Erasure Code安全级别可支持设置44+4，安全级别可在线动态修改，系统根据当前节点状态使用相应的容错算法。支持数据冗余N+M模式下，当损坏节点数量超过M台（或数据块超过M）时，系统内的正常存储节点不少于1台，业务仍可持续写入，且存留的视频数据仍可进行回放，回放数据无马赛克。当故障存储或者硬盘上线后，损坏数据可自动恢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1套</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视频存储</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 云存储存储节点，可接入硬盘≥48块，配置≥48块8T企业级硬盘，不低于64位多核处理器，≥32GB内存，系统盘应采用SSD，≥2个千兆网口、2个万兆网口，不低于1+1冗余电源；</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 支持存储空间虚拟化管理，支持云内容灾备份，支持一体化运维，支持多存储设备容量整合，形成录像池；可根据用户业务分配通用、文件、视频、图片等类型存储空间；支持在线弹性伸缩录像池的容量空间，不影响业务继续读写；</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 支持不同的物理节点之间建立网络RAID，配置设备冗余后，当某个物理节点宕机后，整个系统的数据可以通过其他物理节点恢复；</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 支持视音频、图片、直接写入，支持视频高速预览、回放、下载；能够直接接入支持GB/T28181-2011、GB/T28181-2016、ONVIF、RTSP、PSIA 标准的前端设备并存储录像文件；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 支持多个系统镜像，主系统出现故障时，备用系统应能接替主系统工作，应能通过任一备用系统对原主系统进行修复；当前版本出现故障或操作失误后，应能回退到历史版本，回退后历史录像完整、回放正常。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 支持GB/T 28181协议视频流直存，支持前端网络摄像机直接通过iSCSI协议进行块存储；支持在麒麟或UOS等操作系统上，使用奇安信浏览器或UOS浏览器等浏览器对设备进行操作。</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 支持存储业务模块存放在不同容器中，业务之间互相隔离，一个业务模块发生故障时，不影响其它业务模块；业务模块异常时，应能自动重启业务模块并恢复原有业务，支持不少于5个容器。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 支持硬盘体检功能，应能查看硬盘体检报告、磁盘档案等，应能按时间显示硬盘的坏扇区、温度、振动变化趋势，应能查看硬盘读取错误率、上电时间、上电时长计数、意外断电计数、重映射扇区数、磁盘振动等多种硬盘健康值，支持查看硬盘体检的历史记录、硬盘健康状态，支持对硬盘健康状态进行分级分类，不少于三种分类如良好、警告、损坏等或其他类似分级分类描述。</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9. 支持指示灯报警，应能按照故障紧急程度分级报警，不同级别闪烁不同颜色灯，灯闪烁频率、时长可设；支持系统盘更换，更换系统盘并配置好信息后，再次开机业务应能自动恢复，历史数据不丢失。</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2台</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图片存储</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高性能图片专用云存储主机，可接入硬盘≥36块，配置≥36块8T企业级硬盘，内置SSD系统盘、内置加速缓存，控制单元不少于2颗64位多核处理器，≥32GB内存，内存支持扩展到≥256GB，≥6个千兆数据网口，支持扩展≥4个千兆口或2个万兆口，具有≥2个USB3.0接口。</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 ★支持图片存储优化，具有大量图片高并发既存既取能力，支持图片URL加密功能。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 支持存储空间虚拟化管理。支持多存储设备容量整合，形成录像池；可根据用户业务分配通用、文件、视频、图片等类型存储空间；支持在线弹性伸缩录像池的容量空间，不影响业务继续读写。</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 支持不同的物理节点之间建立网络RAID，配置设备冗余后，当某个物理节点宕机后，整个系统的数据可以通过其他物理节点恢复；</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 支持多个系统镜像，主系统出现故障时，备用系统应能接替主系统工作，应能通过任一备用系统对原主系统进行修复；当前版本出现故障或操作失误后，应能回退到历史版本，回退后历史录像完整、回放正常。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 支持GB/T 28181协议视频流直存，支持前端网络摄像机直接通过iSCSI协议进行块存储；支持在麒麟或UOS等操作系统上，使用奇安信浏览器或UOS浏览器等浏览器对设备进行操作。</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 支持存储业务模块存放在不同容器中，业务之间互相隔离，一个业务模块发生故障时，不影响其它业务模块；业务模块异常时，应能自动重启业务模块并恢复原有业务，支持不少于5个容器。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 支持硬盘体检功能，应能查看硬盘体检报告、磁盘档案等，应能按时间显示硬盘的坏扇区、温度、振动变化趋势，应能查看硬盘读取错误率、上电时间、上电时长计数、意外断电计数、重映射扇区数、磁盘振动等多种硬盘健康值，支持查看硬盘体检的历史记录、硬盘健康状态，支持对硬盘健康状态进行分级分类，不少于三种分类如良好、警告、损坏等或其他类似分级分类描述。</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9. 支持指示灯报警，应能按照故障紧急程度分级报警，不同级别闪烁不同颜色灯，灯闪烁频率、时长可设；支持系统盘更换，更换系统盘并配置好信息后，再次开机业务应能自动恢复，历史数据不丢失。</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1台</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非管理工业级交换机；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1.交换机容量：10 Gbps；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2.包转发率：7.44 Mpps；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3.安装方式:导轨安装；</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4.5个10/100/1000Base-T电口；</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5.雷电防护：共模 4KV，差模 2KV；</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6.工作温度：-30℃～75℃；</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7.供电方式：DC 12V~36V；</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8.使用高性能交换机芯片，大缓存，视频无卡顿；</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9.符合IEEE802.3、IEEE802.3u、IEEE802.3x标准；</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10.全金属外壳，全封闭防尘、宽温设计；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11.即插即用，简化工程施工部署。</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70台</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6.5米立杆</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1.立杆及底法兰采用Q345优质钢材，其余采用Q235优质钢材，杆件整体内外热镀锌，外表喷塑。                                                                                                  2.立杆离地面净高＞6.0m，摄像机离高横臂长度＞1米-4米（具体情况根据客户需求和现场勘查为准）。                                                                                     3.立杆的上口直径为70mm,下口直径为150mm,壁厚4mm；横臂杆梢直径为60mm，根部直径为48mm，壁厚3.0mm）。                                                                                   4.颜色：白色</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70根</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通信设备箱</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1.箱体为定制型前端设设备专用箱体，用于安装放置光电转换设备、电源避雷器等设备。                                                                                                      2.机箱表面采用喷塑工艺处理，锁具、门轴坚实牢固，使用寿命在十年以上，机箱板材厚度不小于1.2毫米；有良好的防水、防尘、防锈、散热、防盗、防寒、防曝晒的结构。                                                                                                             3.箱体内部布置有条理，接线有序整齐，并充分考虑机箱钥匙的统一性和实用性。                                                                                                             4.设备箱尺寸是300*400*500。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70个</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地笼</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监控杆地笼,跟监控杆配套。地脚螺栓4×M16，L=800mm，Q345材质；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70个</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接线板</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12孔插板、10A漏电空开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70个</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防雷服务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电源/网络防雷器系统二合一；垂直接地极、接地母线、接地线。</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1.接地体埋深（指接地体上端）一般不小于0.7米。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2.地系统中的垂直接地体，宜采用长度不小于1.5米的镀锌钢材、硅酸盐水泥（或其它低电阻串水泥）混凝土包封电极或石墨电极。</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3.接地体一般采用镀锌钢材，其规格要求如下：</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钢管壁厚应不小于3.5毫米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角钢应不小于50×50×5毫米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扁钢应不小于40×4毫米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圆钢直径应不小于8毫米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接地电阻值不宜大于10欧（一般需要2根以上垂直接地体，并且2根接地体之间距离为垂直接地体2倍，垂直接地体之间用40×4毫米扁钢连接，接地体之间的所有焊接点（浇灌在混凝土中的除外）、均应进行防腐处理）。</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5.箱体和设备电源接地：用接地线从箱体引入电杆内壁预留接地点，接地电源线为6mm ²。</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70套</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天网项目基础实施技术服务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天网立杆安装基础尺寸：L800mm*800mm*1000mm；基础与手井之间通过穿线管连接，管内放置铁丝,基础内预埋线管内径大于φ50mm，弯曲角度大于120°。混凝土设计强度等级不小于C20～C25。基础的浇注、混凝土强度等级必须符合GB50204的要求。                                                                                                                                     2.立杆吊装:立杆吊装在基础养护完成混凝土能达到一定的安装强度时，在立杆点位使用安全路锥和警示牌隔离出工作区域先将立杆和横杆用配套螺母固定，在杆件内穿好铁丝后期用于穿线缆，在横杆顶端绑上绳索吊装时调整杆件位置用，调整好杆件位置后将杆件法兰盘空位对准基础的丝杆用螺丝固定并紧固以上各件连接螺栓，检查安装好的标准节垂直偏差调整到符合规范要求。                                                                                                                                                                              3.检查井:长宽高尺寸为300mm×300mm×500mm，采用明挖法施工，整平、夯实基底，严格控制标高；砌体使用砖块及普通硅酸盐水泥，手井内外壁采用水泥砂浆抹面，厚度20mm，施工完毕，基础分层回填夯实，手井底部应设有渗水孔，同时铺设好穿线管；手井手井盖可根据环境要求选配混凝土预制井盖或复合材料井盖。                                                                            4.电源线及室外超五类网线：铜芯聚录乙烯绝缘护套圆形软电缆RVV3*2.5（具体数量根据需求和现场勘查为准）。</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电源引入：挖沟规格为200mm×500mm，沟底部要求平整不能有石子，基础沟的拐角不能小于直角要成圆弧形；所有地下埋管统一用≥6公分的PVC线管，立杆基础到手井之间的PVC管为≥75公分管材。线管离地面应不小于0.5米；线管内放置穿线铁丝。线缆敷设后，先用细砂土回填、回填后夯实路面，再根据周边环境复原路面，保持与原路面一致及建渣转运。注：特殊路面需重压时，要预埋钢管防止因路面压力导致线管变形破裂；各种类型的线缆用穿线器引导穿线，电源缆单独走一条管，其它线缆以现场实际距离为标准确定，保证线路与线路之间的结头牢固密封、良好的防水性；施工时必备安全措施保障。</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6.★中标供应商需要对前端及后台设备和达州公安局现有平台实现无缝对接。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70项</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传输链路</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不低于 50M 视频专网传输链路。</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1、过载丢包率≤0.01%；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2、长期丢包率≤1X10-7；</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3、倒换保护时间≤50ms；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4、链路有效传输速率不低于带宽的90%；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5、每千公里时延≤40ms。</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70条</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前端设备电费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保障服务期内对本70 个点位（210台设备）前端设备所有点位的用电正常。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210项</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运维服务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★注：为能保障视频在线率投标人需至少两人以上人员在达州市公安局坐班；且需要至少提供一辆专业作业车并且提供车辆相关证明资料（中标人车辆行驶证复印件或租车协议复印件）。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1.日常巡检：服务期内供应商每天对每个监控点的通讯效果和图像效果进行巡检，开展主动性、预防性的 检查，对涉及的设备告警、性能、运行状态进行检查 分析。同时核对客户的工程技术资料、电路资料、电 路参数、维护路由、终端设备和内部组网等，保持客 户资料的准确性和可用性，对客户端网络资源进行预警。</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2.对采购人有关维护和技术问题的服务请求，供应商应及时派专业技术维修工程师提供现场服务，进行技术调试、故障诊断和排除。                                                                             3.前端监控设备出现功能性的故障，但不影响整个系 统的正常运行和图像的存储；响应时间：不超过半小时；工程师到达现场时间：不超过 4 小时；解决时间： 不超过 8 小时；工程师到现场，确定故障原因，尽量 现场解决，如不能确定故障原因，则安排工程师携带 替换设备在第一可达时间内赶赴用户现场，进行替 换，并将故障设备带回检修。                                                                               4.后台设备在运行中出现系统瘫痪或服务中断，导致网络不通或图像不能观看或不能存储；响应时间：不超过半小时；工程师到达时间，不超过 2 小时；故障解决时间：不超过 4 小时；工程师到现场，第一时间确定故障原因，尽量现场解决，如不能确定故障原因， 则安排工程师携带替换设备在第一可达时间内赶赴用户现场，进行替换，并将故障设备带回检修。                                                                                                                                                                     5.每月定期需对每个点位进行除尘、清除遮挡物、根据用户要求调整摄像机角度、采集点位 GPS 坐标信息等服务。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6.配合用户按照国标规范对点位进行治理。                                                                                                                                                   7.服务期内对本 70 个点位的前端设备、后台设备、 杆体、电源、链路等出现故障的设备免费维修，若不能维修的免费更换 (使用原设备同型号设备进行更换，若由于原型号设备停产或其他不可抗力不能采用同型号设备需在业主的同意下使用相同性能的其他 设备替换) 。                                                                                                                    8.在服务期内若遇市政施工需要迁移点的，30个点以下无条件免费迁移，如超过三十个，业主按市场均价支付迁移费(迁移费由业主和供应商共同询价确定)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9.保障前端所有点位的用电正常。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10.服务期内对本项目70个点位的（210个）前端设备提供设备总数5%的备品备件。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70项</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微软雅黑" w:hAnsi="微软雅黑" w:eastAsia="微软雅黑" w:cs="微软雅黑"/>
                <w:i w:val="0"/>
                <w:iCs w:val="0"/>
                <w:color w:val="FF0000"/>
                <w:sz w:val="20"/>
                <w:szCs w:val="20"/>
                <w:u w:val="none"/>
              </w:rPr>
            </w:pPr>
          </w:p>
        </w:tc>
      </w:tr>
    </w:tbl>
    <w:p>
      <w:pPr>
        <w:spacing w:line="578" w:lineRule="exact"/>
        <w:ind w:firstLine="600" w:firstLineChars="200"/>
        <w:rPr>
          <w:rFonts w:hint="default" w:ascii="Times New Roman" w:hAnsi="Times New Roman" w:eastAsia="仿宋" w:cs="Times New Roman"/>
          <w:sz w:val="30"/>
          <w:szCs w:val="30"/>
        </w:rPr>
      </w:pPr>
    </w:p>
    <w:p>
      <w:pPr>
        <w:spacing w:line="578"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本事项联系人：</w:t>
      </w:r>
      <w:r>
        <w:rPr>
          <w:rFonts w:hint="eastAsia" w:ascii="Times New Roman" w:hAnsi="Times New Roman" w:eastAsia="仿宋" w:cs="Times New Roman"/>
          <w:sz w:val="30"/>
          <w:szCs w:val="30"/>
          <w:lang w:val="en-US" w:eastAsia="zh-CN"/>
        </w:rPr>
        <w:t>刘</w:t>
      </w:r>
      <w:r>
        <w:rPr>
          <w:rFonts w:hint="default" w:ascii="Times New Roman" w:hAnsi="Times New Roman" w:eastAsia="仿宋" w:cs="Times New Roman"/>
          <w:sz w:val="30"/>
          <w:szCs w:val="30"/>
        </w:rPr>
        <w:t>警官</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t xml:space="preserve">        联系电话：</w:t>
      </w:r>
      <w:r>
        <w:rPr>
          <w:rFonts w:hint="eastAsia" w:ascii="Times New Roman" w:hAnsi="Times New Roman" w:eastAsia="仿宋" w:cs="Times New Roman"/>
          <w:sz w:val="30"/>
          <w:szCs w:val="30"/>
          <w:lang w:val="en-US" w:eastAsia="zh-CN"/>
        </w:rPr>
        <w:t>18113397877、</w:t>
      </w:r>
      <w:r>
        <w:rPr>
          <w:rFonts w:hint="default" w:ascii="Times New Roman" w:hAnsi="Times New Roman" w:eastAsia="仿宋" w:cs="Times New Roman"/>
          <w:sz w:val="30"/>
          <w:szCs w:val="30"/>
        </w:rPr>
        <w:t>2115210</w:t>
      </w:r>
    </w:p>
    <w:p>
      <w:pPr>
        <w:spacing w:line="578" w:lineRule="exact"/>
        <w:ind w:right="900" w:firstLine="600" w:firstLineChars="200"/>
        <w:rPr>
          <w:rFonts w:hint="default" w:ascii="Times New Roman" w:hAnsi="Times New Roman" w:eastAsia="仿宋" w:cs="Times New Roman"/>
          <w:sz w:val="30"/>
          <w:szCs w:val="30"/>
        </w:rPr>
      </w:pPr>
    </w:p>
    <w:p>
      <w:pPr>
        <w:spacing w:line="500" w:lineRule="exact"/>
        <w:ind w:firstLine="600" w:firstLineChars="200"/>
        <w:jc w:val="righ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公司名称（盖章）</w:t>
      </w:r>
    </w:p>
    <w:p>
      <w:pPr>
        <w:spacing w:line="500" w:lineRule="exact"/>
        <w:ind w:firstLine="600" w:firstLineChars="200"/>
        <w:jc w:val="righ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二〇二</w:t>
      </w:r>
      <w:r>
        <w:rPr>
          <w:rFonts w:hint="eastAsia" w:ascii="Times New Roman" w:hAnsi="Times New Roman" w:eastAsia="仿宋" w:cs="Times New Roman"/>
          <w:sz w:val="30"/>
          <w:szCs w:val="30"/>
          <w:lang w:eastAsia="zh-CN"/>
        </w:rPr>
        <w:t>三</w:t>
      </w:r>
      <w:r>
        <w:rPr>
          <w:rFonts w:hint="default" w:ascii="Times New Roman" w:hAnsi="Times New Roman" w:eastAsia="仿宋" w:cs="Times New Roman"/>
          <w:sz w:val="30"/>
          <w:szCs w:val="30"/>
        </w:rPr>
        <w:t>年  月  日</w:t>
      </w:r>
    </w:p>
    <w:sectPr>
      <w:footerReference r:id="rId3" w:type="default"/>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zNzBlM2ExZTRjYWZmZjE5NTQ2MTI2ODBmM2FhYjYifQ=="/>
  </w:docVars>
  <w:rsids>
    <w:rsidRoot w:val="0081680F"/>
    <w:rsid w:val="00003A00"/>
    <w:rsid w:val="00004CDA"/>
    <w:rsid w:val="00021999"/>
    <w:rsid w:val="00047B79"/>
    <w:rsid w:val="00056E6D"/>
    <w:rsid w:val="00057259"/>
    <w:rsid w:val="000802B0"/>
    <w:rsid w:val="00091D38"/>
    <w:rsid w:val="000958A8"/>
    <w:rsid w:val="00097521"/>
    <w:rsid w:val="000A47F2"/>
    <w:rsid w:val="000C02D3"/>
    <w:rsid w:val="000D7935"/>
    <w:rsid w:val="001023FA"/>
    <w:rsid w:val="00102DDB"/>
    <w:rsid w:val="001049A6"/>
    <w:rsid w:val="001140AC"/>
    <w:rsid w:val="00132499"/>
    <w:rsid w:val="001343B5"/>
    <w:rsid w:val="0014569A"/>
    <w:rsid w:val="001541A1"/>
    <w:rsid w:val="001911FC"/>
    <w:rsid w:val="00191EC3"/>
    <w:rsid w:val="00192340"/>
    <w:rsid w:val="00192FBC"/>
    <w:rsid w:val="001E5387"/>
    <w:rsid w:val="00222B9B"/>
    <w:rsid w:val="00223D88"/>
    <w:rsid w:val="00226D38"/>
    <w:rsid w:val="00261F45"/>
    <w:rsid w:val="00262B72"/>
    <w:rsid w:val="0026451B"/>
    <w:rsid w:val="002671F8"/>
    <w:rsid w:val="00272A94"/>
    <w:rsid w:val="00274DBD"/>
    <w:rsid w:val="002848E1"/>
    <w:rsid w:val="002A3BC3"/>
    <w:rsid w:val="002A3E38"/>
    <w:rsid w:val="002B1674"/>
    <w:rsid w:val="002B54B6"/>
    <w:rsid w:val="002C2F25"/>
    <w:rsid w:val="002C40E5"/>
    <w:rsid w:val="002D4ACD"/>
    <w:rsid w:val="002E7BD7"/>
    <w:rsid w:val="003016BE"/>
    <w:rsid w:val="00322AD8"/>
    <w:rsid w:val="00344BB9"/>
    <w:rsid w:val="00350193"/>
    <w:rsid w:val="00372484"/>
    <w:rsid w:val="003731F8"/>
    <w:rsid w:val="003F6372"/>
    <w:rsid w:val="0041314D"/>
    <w:rsid w:val="00416242"/>
    <w:rsid w:val="0042490B"/>
    <w:rsid w:val="0042611A"/>
    <w:rsid w:val="004331CC"/>
    <w:rsid w:val="00436EBC"/>
    <w:rsid w:val="00437ACE"/>
    <w:rsid w:val="00456642"/>
    <w:rsid w:val="004728D8"/>
    <w:rsid w:val="00484580"/>
    <w:rsid w:val="00492CD5"/>
    <w:rsid w:val="0049674F"/>
    <w:rsid w:val="004A366A"/>
    <w:rsid w:val="004B7EEB"/>
    <w:rsid w:val="004C45EF"/>
    <w:rsid w:val="004F6FF1"/>
    <w:rsid w:val="00506871"/>
    <w:rsid w:val="00515F90"/>
    <w:rsid w:val="0052445A"/>
    <w:rsid w:val="00571DB5"/>
    <w:rsid w:val="00580889"/>
    <w:rsid w:val="00587B3D"/>
    <w:rsid w:val="005A3CF3"/>
    <w:rsid w:val="005A654A"/>
    <w:rsid w:val="005A7CF6"/>
    <w:rsid w:val="005C47C3"/>
    <w:rsid w:val="005D2BA5"/>
    <w:rsid w:val="005E5C86"/>
    <w:rsid w:val="006038E4"/>
    <w:rsid w:val="006059E1"/>
    <w:rsid w:val="0061618C"/>
    <w:rsid w:val="00625A89"/>
    <w:rsid w:val="006269A5"/>
    <w:rsid w:val="00626F4E"/>
    <w:rsid w:val="00637C40"/>
    <w:rsid w:val="0064724A"/>
    <w:rsid w:val="00647AED"/>
    <w:rsid w:val="006618ED"/>
    <w:rsid w:val="00663FA4"/>
    <w:rsid w:val="00690720"/>
    <w:rsid w:val="00690E10"/>
    <w:rsid w:val="00690F13"/>
    <w:rsid w:val="006C5EB0"/>
    <w:rsid w:val="006D02D8"/>
    <w:rsid w:val="006D2722"/>
    <w:rsid w:val="006E6ACF"/>
    <w:rsid w:val="006F4860"/>
    <w:rsid w:val="00702809"/>
    <w:rsid w:val="00705017"/>
    <w:rsid w:val="00734FF6"/>
    <w:rsid w:val="007465AA"/>
    <w:rsid w:val="00753105"/>
    <w:rsid w:val="007635F6"/>
    <w:rsid w:val="00784AC5"/>
    <w:rsid w:val="007B5E97"/>
    <w:rsid w:val="007C37F8"/>
    <w:rsid w:val="007E47F6"/>
    <w:rsid w:val="007E57F7"/>
    <w:rsid w:val="007F50F8"/>
    <w:rsid w:val="00807BCD"/>
    <w:rsid w:val="0081680F"/>
    <w:rsid w:val="00820EC0"/>
    <w:rsid w:val="0084374D"/>
    <w:rsid w:val="0087098E"/>
    <w:rsid w:val="00876D38"/>
    <w:rsid w:val="00894117"/>
    <w:rsid w:val="008A5ADB"/>
    <w:rsid w:val="008A7F08"/>
    <w:rsid w:val="008E69B0"/>
    <w:rsid w:val="008F2A13"/>
    <w:rsid w:val="008F5713"/>
    <w:rsid w:val="008F6F59"/>
    <w:rsid w:val="00900953"/>
    <w:rsid w:val="00903650"/>
    <w:rsid w:val="00906724"/>
    <w:rsid w:val="0092102B"/>
    <w:rsid w:val="0092464A"/>
    <w:rsid w:val="00924F59"/>
    <w:rsid w:val="00942146"/>
    <w:rsid w:val="00974EC8"/>
    <w:rsid w:val="009906D5"/>
    <w:rsid w:val="009A1ACF"/>
    <w:rsid w:val="009D4D20"/>
    <w:rsid w:val="009E1D3C"/>
    <w:rsid w:val="009F4B92"/>
    <w:rsid w:val="00A13C6A"/>
    <w:rsid w:val="00A27B72"/>
    <w:rsid w:val="00A554EC"/>
    <w:rsid w:val="00A55A99"/>
    <w:rsid w:val="00A55B5B"/>
    <w:rsid w:val="00AA09A3"/>
    <w:rsid w:val="00AB234A"/>
    <w:rsid w:val="00AB5066"/>
    <w:rsid w:val="00AC0B3E"/>
    <w:rsid w:val="00AC3FD6"/>
    <w:rsid w:val="00AD1109"/>
    <w:rsid w:val="00AD7B68"/>
    <w:rsid w:val="00AF0E88"/>
    <w:rsid w:val="00AF3FDE"/>
    <w:rsid w:val="00AF6F44"/>
    <w:rsid w:val="00B12E56"/>
    <w:rsid w:val="00B136BB"/>
    <w:rsid w:val="00B17B1F"/>
    <w:rsid w:val="00B27C54"/>
    <w:rsid w:val="00B37343"/>
    <w:rsid w:val="00BC4022"/>
    <w:rsid w:val="00BD2666"/>
    <w:rsid w:val="00BD71AD"/>
    <w:rsid w:val="00BE4ED0"/>
    <w:rsid w:val="00C00861"/>
    <w:rsid w:val="00C07C66"/>
    <w:rsid w:val="00C166F5"/>
    <w:rsid w:val="00C210C7"/>
    <w:rsid w:val="00C34B78"/>
    <w:rsid w:val="00C82FB6"/>
    <w:rsid w:val="00C947AB"/>
    <w:rsid w:val="00CC227C"/>
    <w:rsid w:val="00CD086A"/>
    <w:rsid w:val="00CE7B11"/>
    <w:rsid w:val="00CF3800"/>
    <w:rsid w:val="00D06A0E"/>
    <w:rsid w:val="00D211D9"/>
    <w:rsid w:val="00D26631"/>
    <w:rsid w:val="00D27C6B"/>
    <w:rsid w:val="00D57895"/>
    <w:rsid w:val="00D60AEB"/>
    <w:rsid w:val="00DA1F23"/>
    <w:rsid w:val="00DA2C8C"/>
    <w:rsid w:val="00DB0CAB"/>
    <w:rsid w:val="00DB7FD9"/>
    <w:rsid w:val="00DC2AD2"/>
    <w:rsid w:val="00DF4C0A"/>
    <w:rsid w:val="00E06382"/>
    <w:rsid w:val="00E2589B"/>
    <w:rsid w:val="00E359EE"/>
    <w:rsid w:val="00E524E6"/>
    <w:rsid w:val="00E52FA5"/>
    <w:rsid w:val="00E65B1D"/>
    <w:rsid w:val="00E72BE0"/>
    <w:rsid w:val="00E72F4D"/>
    <w:rsid w:val="00E853EB"/>
    <w:rsid w:val="00EC2FEB"/>
    <w:rsid w:val="00ED7DF1"/>
    <w:rsid w:val="00EF6977"/>
    <w:rsid w:val="00F11B2F"/>
    <w:rsid w:val="00F22E59"/>
    <w:rsid w:val="00F31C34"/>
    <w:rsid w:val="00F43131"/>
    <w:rsid w:val="00F43727"/>
    <w:rsid w:val="00F43E0B"/>
    <w:rsid w:val="00F73E56"/>
    <w:rsid w:val="00F759FA"/>
    <w:rsid w:val="00F75B3D"/>
    <w:rsid w:val="00F925FE"/>
    <w:rsid w:val="00FB0F89"/>
    <w:rsid w:val="00FD77D3"/>
    <w:rsid w:val="00FD781E"/>
    <w:rsid w:val="017A2922"/>
    <w:rsid w:val="02105C5A"/>
    <w:rsid w:val="0300571C"/>
    <w:rsid w:val="05B37023"/>
    <w:rsid w:val="0644429B"/>
    <w:rsid w:val="097B19B0"/>
    <w:rsid w:val="0CC92D7A"/>
    <w:rsid w:val="0DE2755A"/>
    <w:rsid w:val="123620DF"/>
    <w:rsid w:val="12850EAA"/>
    <w:rsid w:val="13AF0467"/>
    <w:rsid w:val="1832421B"/>
    <w:rsid w:val="1A8348B3"/>
    <w:rsid w:val="1B7F91A6"/>
    <w:rsid w:val="1C9B39E8"/>
    <w:rsid w:val="1DDA2B20"/>
    <w:rsid w:val="1F145097"/>
    <w:rsid w:val="1FB71C8D"/>
    <w:rsid w:val="1FE3C888"/>
    <w:rsid w:val="22F1613F"/>
    <w:rsid w:val="277641AF"/>
    <w:rsid w:val="2C5D6FAE"/>
    <w:rsid w:val="2CF55061"/>
    <w:rsid w:val="2DEA1346"/>
    <w:rsid w:val="2E8B6394"/>
    <w:rsid w:val="2FF7538E"/>
    <w:rsid w:val="30DA4CD0"/>
    <w:rsid w:val="34B63D06"/>
    <w:rsid w:val="352A00BF"/>
    <w:rsid w:val="355E0F76"/>
    <w:rsid w:val="36F506D8"/>
    <w:rsid w:val="37307DA0"/>
    <w:rsid w:val="37BE3D84"/>
    <w:rsid w:val="37F80854"/>
    <w:rsid w:val="38FFAB7C"/>
    <w:rsid w:val="3D695DB9"/>
    <w:rsid w:val="3DEFA3DF"/>
    <w:rsid w:val="3E7B9EC8"/>
    <w:rsid w:val="3EFB41F2"/>
    <w:rsid w:val="3F3E5A60"/>
    <w:rsid w:val="3FBB467C"/>
    <w:rsid w:val="3FDFBADF"/>
    <w:rsid w:val="3FFF1819"/>
    <w:rsid w:val="43B7E161"/>
    <w:rsid w:val="43BD0DC9"/>
    <w:rsid w:val="43C180B7"/>
    <w:rsid w:val="45BE1783"/>
    <w:rsid w:val="45EFDDE4"/>
    <w:rsid w:val="47BFC4C9"/>
    <w:rsid w:val="486A529B"/>
    <w:rsid w:val="4B4F39FF"/>
    <w:rsid w:val="4FE74B5D"/>
    <w:rsid w:val="50F75E65"/>
    <w:rsid w:val="51FED7AB"/>
    <w:rsid w:val="539DCDE7"/>
    <w:rsid w:val="543E2ADD"/>
    <w:rsid w:val="54440185"/>
    <w:rsid w:val="55BF4477"/>
    <w:rsid w:val="55FF3BEE"/>
    <w:rsid w:val="56AC428F"/>
    <w:rsid w:val="56EF7DD3"/>
    <w:rsid w:val="571F5179"/>
    <w:rsid w:val="57CD11E8"/>
    <w:rsid w:val="59DF834E"/>
    <w:rsid w:val="5BD462C2"/>
    <w:rsid w:val="5D3355FB"/>
    <w:rsid w:val="5D4348F5"/>
    <w:rsid w:val="5EFA7CCD"/>
    <w:rsid w:val="5EFAF451"/>
    <w:rsid w:val="5F7AFB66"/>
    <w:rsid w:val="5F93F220"/>
    <w:rsid w:val="5FE31A24"/>
    <w:rsid w:val="60340DE4"/>
    <w:rsid w:val="60E9ECC8"/>
    <w:rsid w:val="66256C75"/>
    <w:rsid w:val="67E22510"/>
    <w:rsid w:val="692C6EBC"/>
    <w:rsid w:val="69804ACF"/>
    <w:rsid w:val="6B9F3C96"/>
    <w:rsid w:val="6BAD34F7"/>
    <w:rsid w:val="6DBFDE2B"/>
    <w:rsid w:val="6E214F0C"/>
    <w:rsid w:val="6EDF389A"/>
    <w:rsid w:val="6FBB27F8"/>
    <w:rsid w:val="6FFF438D"/>
    <w:rsid w:val="72FFF92E"/>
    <w:rsid w:val="73DF007C"/>
    <w:rsid w:val="745FE5D3"/>
    <w:rsid w:val="757DE146"/>
    <w:rsid w:val="76477463"/>
    <w:rsid w:val="77AD83A5"/>
    <w:rsid w:val="77C20C55"/>
    <w:rsid w:val="77CF307D"/>
    <w:rsid w:val="77D96281"/>
    <w:rsid w:val="79798B57"/>
    <w:rsid w:val="7B1A3136"/>
    <w:rsid w:val="7B7F714C"/>
    <w:rsid w:val="7BBB93C6"/>
    <w:rsid w:val="7BBFCD42"/>
    <w:rsid w:val="7BEF7C7A"/>
    <w:rsid w:val="7D75771E"/>
    <w:rsid w:val="7E6700E6"/>
    <w:rsid w:val="7E74479C"/>
    <w:rsid w:val="7EBF0812"/>
    <w:rsid w:val="7EBF6D93"/>
    <w:rsid w:val="7EEBA858"/>
    <w:rsid w:val="7EFF2AC6"/>
    <w:rsid w:val="7F777507"/>
    <w:rsid w:val="7F7D58EC"/>
    <w:rsid w:val="7F7F5DD9"/>
    <w:rsid w:val="7FAE92BA"/>
    <w:rsid w:val="7FCF1F29"/>
    <w:rsid w:val="7FEF1A41"/>
    <w:rsid w:val="7FEF1C79"/>
    <w:rsid w:val="7FEF20D7"/>
    <w:rsid w:val="7FEF5AF8"/>
    <w:rsid w:val="7FFE7EDE"/>
    <w:rsid w:val="7FFFFE3A"/>
    <w:rsid w:val="8ADF2D33"/>
    <w:rsid w:val="8E2F987E"/>
    <w:rsid w:val="8EB7D2D2"/>
    <w:rsid w:val="97F84A67"/>
    <w:rsid w:val="9BEFF0BA"/>
    <w:rsid w:val="9D4B5CFF"/>
    <w:rsid w:val="9FFFFA2B"/>
    <w:rsid w:val="A3FF258F"/>
    <w:rsid w:val="B33FB105"/>
    <w:rsid w:val="B3EBBA7F"/>
    <w:rsid w:val="B67F4FF7"/>
    <w:rsid w:val="B6ED9DD7"/>
    <w:rsid w:val="B7F6ACBC"/>
    <w:rsid w:val="BA7B23C6"/>
    <w:rsid w:val="BC77589D"/>
    <w:rsid w:val="BDB950A4"/>
    <w:rsid w:val="BE9E1608"/>
    <w:rsid w:val="BF9BBF73"/>
    <w:rsid w:val="BFBF9F81"/>
    <w:rsid w:val="CB7D6125"/>
    <w:rsid w:val="CE7E0E9E"/>
    <w:rsid w:val="CFFF7263"/>
    <w:rsid w:val="D7BF500D"/>
    <w:rsid w:val="D7E0D094"/>
    <w:rsid w:val="DADF7D46"/>
    <w:rsid w:val="DBBD975F"/>
    <w:rsid w:val="DD7FDC23"/>
    <w:rsid w:val="DDFFB41F"/>
    <w:rsid w:val="DDFFDFA0"/>
    <w:rsid w:val="DE6D79DA"/>
    <w:rsid w:val="DFBBA0DA"/>
    <w:rsid w:val="DFBDA62F"/>
    <w:rsid w:val="DFEAB083"/>
    <w:rsid w:val="DFEFD79F"/>
    <w:rsid w:val="DFF7E9E8"/>
    <w:rsid w:val="E77FC2F4"/>
    <w:rsid w:val="E9F71EFB"/>
    <w:rsid w:val="EABFFBE1"/>
    <w:rsid w:val="EAFA6E78"/>
    <w:rsid w:val="EBFE231B"/>
    <w:rsid w:val="EBFED9BE"/>
    <w:rsid w:val="ED596A57"/>
    <w:rsid w:val="EF857295"/>
    <w:rsid w:val="F1D7BC96"/>
    <w:rsid w:val="F36DDBC7"/>
    <w:rsid w:val="F3F2B0F6"/>
    <w:rsid w:val="F4AF013F"/>
    <w:rsid w:val="F5960D42"/>
    <w:rsid w:val="F6FECA49"/>
    <w:rsid w:val="F77E256A"/>
    <w:rsid w:val="F79FEFAC"/>
    <w:rsid w:val="F7DFC654"/>
    <w:rsid w:val="F9E6A9E3"/>
    <w:rsid w:val="FA4B9403"/>
    <w:rsid w:val="FB6E079A"/>
    <w:rsid w:val="FB7E255A"/>
    <w:rsid w:val="FBAF1A53"/>
    <w:rsid w:val="FCFC4C22"/>
    <w:rsid w:val="FD1F57D0"/>
    <w:rsid w:val="FD59C033"/>
    <w:rsid w:val="FD7B30A3"/>
    <w:rsid w:val="FDDE6A1B"/>
    <w:rsid w:val="FDFD6F7C"/>
    <w:rsid w:val="FE734873"/>
    <w:rsid w:val="FEF16509"/>
    <w:rsid w:val="FEFF3343"/>
    <w:rsid w:val="FF2E4D24"/>
    <w:rsid w:val="FF3581CE"/>
    <w:rsid w:val="FF79CF49"/>
    <w:rsid w:val="FF7B86C6"/>
    <w:rsid w:val="FF7DBA31"/>
    <w:rsid w:val="FFA78F7F"/>
    <w:rsid w:val="FFAF4AC3"/>
    <w:rsid w:val="FFBA6F60"/>
    <w:rsid w:val="FFBB58BA"/>
    <w:rsid w:val="FFCF6F1A"/>
    <w:rsid w:val="FFDFC233"/>
    <w:rsid w:val="FFE7D486"/>
    <w:rsid w:val="FFEE2845"/>
    <w:rsid w:val="FFEE5920"/>
    <w:rsid w:val="FFFD1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unhideWhenUsed/>
    <w:qFormat/>
    <w:uiPriority w:val="0"/>
    <w:pPr>
      <w:suppressAutoHyphens/>
      <w:spacing w:after="120"/>
    </w:pPr>
    <w:rPr>
      <w:rFonts w:ascii="Calibri" w:hAnsi="Calibri"/>
      <w:szCs w:val="24"/>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日期 字符"/>
    <w:basedOn w:val="9"/>
    <w:link w:val="3"/>
    <w:semiHidden/>
    <w:qFormat/>
    <w:uiPriority w:val="99"/>
    <w:rPr>
      <w:kern w:val="2"/>
      <w:sz w:val="21"/>
      <w:szCs w:val="22"/>
    </w:rPr>
  </w:style>
  <w:style w:type="character" w:customStyle="1" w:styleId="16">
    <w:name w:val="正文文本 字符"/>
    <w:basedOn w:val="9"/>
    <w:link w:val="2"/>
    <w:qFormat/>
    <w:uiPriority w:val="0"/>
    <w:rPr>
      <w:rFonts w:ascii="Calibri" w:hAnsi="Calibri"/>
      <w:kern w:val="2"/>
      <w:sz w:val="21"/>
      <w:szCs w:val="24"/>
    </w:rPr>
  </w:style>
  <w:style w:type="character" w:customStyle="1" w:styleId="17">
    <w:name w:val="正文文本 字符1"/>
    <w:basedOn w:val="9"/>
    <w:semiHidden/>
    <w:qFormat/>
    <w:uiPriority w:val="99"/>
    <w:rPr>
      <w:kern w:val="2"/>
      <w:sz w:val="21"/>
      <w:szCs w:val="22"/>
    </w:rPr>
  </w:style>
  <w:style w:type="paragraph" w:customStyle="1" w:styleId="18">
    <w:name w:val="表格"/>
    <w:basedOn w:val="1"/>
    <w:qFormat/>
    <w:uiPriority w:val="0"/>
    <w:pPr>
      <w:tabs>
        <w:tab w:val="left" w:pos="820"/>
      </w:tabs>
      <w:jc w:val="left"/>
    </w:pPr>
    <w:rPr>
      <w:rFonts w:ascii="Times New Roman" w:hAnsi="Times New Roman" w:eastAsia="宋体" w:cs="仿宋_GB2312"/>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10017</Words>
  <Characters>10858</Characters>
  <Lines>111</Lines>
  <Paragraphs>31</Paragraphs>
  <TotalTime>1</TotalTime>
  <ScaleCrop>false</ScaleCrop>
  <LinksUpToDate>false</LinksUpToDate>
  <CharactersWithSpaces>10924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2022-05-29T03:55:00Z</dcterms:created>
  <dc:creator>Administrator</dc:creator>
  <cp:lastModifiedBy>爱学习的方正同学</cp:lastModifiedBy>
  <cp:lastPrinted>2022-01-14T02:15:00Z</cp:lastPrinted>
  <dcterms:modified xsi:type="dcterms:W3CDTF">2023-11-30T08:45:52Z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87F6F4F4AE2E44A78EB9A06416DA31C3_13</vt:lpwstr>
  </property>
</Properties>
</file>