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eastAsia="方正小标宋简体"/>
          <w:bCs/>
          <w:sz w:val="44"/>
          <w:szCs w:val="44"/>
        </w:rPr>
      </w:pPr>
    </w:p>
    <w:p>
      <w:pPr>
        <w:spacing w:line="592" w:lineRule="exact"/>
        <w:jc w:val="center"/>
        <w:rPr>
          <w:rFonts w:eastAsia="方正小标宋简体"/>
          <w:bCs/>
          <w:sz w:val="44"/>
          <w:szCs w:val="44"/>
        </w:rPr>
      </w:pPr>
      <w:r>
        <w:rPr>
          <w:rFonts w:eastAsia="方正小标宋简体"/>
          <w:bCs/>
          <w:sz w:val="44"/>
          <w:szCs w:val="44"/>
        </w:rPr>
        <w:t>中国</w:t>
      </w:r>
      <w:r>
        <w:rPr>
          <w:rFonts w:hint="eastAsia" w:eastAsia="方正小标宋简体"/>
          <w:bCs/>
          <w:sz w:val="44"/>
          <w:szCs w:val="44"/>
        </w:rPr>
        <w:t>（达州）</w:t>
      </w:r>
      <w:r>
        <w:rPr>
          <w:rFonts w:eastAsia="方正小标宋简体"/>
          <w:bCs/>
          <w:sz w:val="44"/>
          <w:szCs w:val="44"/>
        </w:rPr>
        <w:t>跨境电子商务综合试验区</w:t>
      </w:r>
    </w:p>
    <w:p>
      <w:pPr>
        <w:spacing w:line="592" w:lineRule="exact"/>
        <w:jc w:val="center"/>
        <w:rPr>
          <w:rFonts w:hint="eastAsia" w:eastAsia="方正小标宋简体"/>
          <w:bCs/>
          <w:sz w:val="44"/>
          <w:szCs w:val="44"/>
          <w:lang w:eastAsia="zh-CN"/>
        </w:rPr>
      </w:pPr>
      <w:r>
        <w:rPr>
          <w:rFonts w:eastAsia="方正小标宋简体"/>
          <w:bCs/>
          <w:sz w:val="44"/>
          <w:szCs w:val="44"/>
        </w:rPr>
        <w:t>实施方案</w:t>
      </w:r>
      <w:bookmarkStart w:id="1" w:name="_GoBack"/>
      <w:bookmarkEnd w:id="1"/>
    </w:p>
    <w:p>
      <w:pPr>
        <w:pStyle w:val="3"/>
      </w:pPr>
    </w:p>
    <w:p>
      <w:pPr>
        <w:spacing w:line="592" w:lineRule="exact"/>
        <w:ind w:firstLine="640" w:firstLineChars="200"/>
      </w:pPr>
      <w:r>
        <w:t>为贯彻落实</w:t>
      </w:r>
      <w:r>
        <w:rPr>
          <w:rFonts w:hint="eastAsia"/>
        </w:rPr>
        <w:t>《国务院关于同意在廊坊等33个城市和地区设立跨境电子商务综合试验区的批复》（</w:t>
      </w:r>
      <w:r>
        <w:t>国函〔2022〕126号</w:t>
      </w:r>
      <w:r>
        <w:rPr>
          <w:rFonts w:hint="eastAsia"/>
        </w:rPr>
        <w:t>）</w:t>
      </w:r>
      <w:r>
        <w:t>精神</w:t>
      </w:r>
      <w:r>
        <w:rPr>
          <w:rFonts w:hint="eastAsia"/>
        </w:rPr>
        <w:t>，</w:t>
      </w:r>
      <w:r>
        <w:t>加快推进中国</w:t>
      </w:r>
      <w:r>
        <w:rPr>
          <w:rFonts w:hint="eastAsia"/>
        </w:rPr>
        <w:t>（达州）</w:t>
      </w:r>
      <w:r>
        <w:t>跨境电子商务综合试验区</w:t>
      </w:r>
      <w:r>
        <w:rPr>
          <w:rFonts w:hint="eastAsia"/>
        </w:rPr>
        <w:t>（</w:t>
      </w:r>
      <w:r>
        <w:t>以下简称</w:t>
      </w:r>
      <w:r>
        <w:rPr>
          <w:rFonts w:hint="eastAsia"/>
        </w:rPr>
        <w:t>达州</w:t>
      </w:r>
      <w:r>
        <w:t>综试区</w:t>
      </w:r>
      <w:r>
        <w:rPr>
          <w:rFonts w:hint="eastAsia"/>
        </w:rPr>
        <w:t>）</w:t>
      </w:r>
      <w:r>
        <w:t>建设</w:t>
      </w:r>
      <w:r>
        <w:rPr>
          <w:rFonts w:hint="eastAsia"/>
        </w:rPr>
        <w:t>，促进达州外贸新业态新模式健康持续创新发展，</w:t>
      </w:r>
      <w:r>
        <w:t>特制定本方案</w:t>
      </w:r>
      <w:r>
        <w:rPr>
          <w:rFonts w:hint="eastAsia"/>
        </w:rPr>
        <w:t>。</w:t>
      </w:r>
    </w:p>
    <w:p>
      <w:pPr>
        <w:tabs>
          <w:tab w:val="left" w:pos="0"/>
        </w:tabs>
        <w:spacing w:line="592" w:lineRule="exact"/>
        <w:ind w:firstLine="640" w:firstLineChars="200"/>
        <w:rPr>
          <w:rFonts w:hAnsi="黑体" w:eastAsia="黑体"/>
        </w:rPr>
      </w:pPr>
      <w:r>
        <w:rPr>
          <w:rFonts w:hint="eastAsia" w:hAnsi="黑体" w:eastAsia="黑体"/>
        </w:rPr>
        <w:t>一、总体要求</w:t>
      </w:r>
    </w:p>
    <w:p>
      <w:pPr>
        <w:spacing w:line="592" w:lineRule="exact"/>
        <w:ind w:firstLine="640" w:firstLineChars="200"/>
        <w:rPr>
          <w:rFonts w:ascii="楷体_GB2312" w:hAnsi="楷体_GB2312" w:eastAsia="楷体_GB2312" w:cs="楷体_GB2312"/>
        </w:rPr>
      </w:pPr>
      <w:r>
        <w:rPr>
          <w:rFonts w:hint="eastAsia" w:ascii="楷体_GB2312" w:hAnsi="楷体_GB2312" w:eastAsia="楷体_GB2312" w:cs="楷体_GB2312"/>
        </w:rPr>
        <w:t>（一）指导思想</w:t>
      </w:r>
    </w:p>
    <w:p>
      <w:pPr>
        <w:spacing w:line="592" w:lineRule="exact"/>
        <w:ind w:firstLine="640" w:firstLineChars="200"/>
      </w:pPr>
      <w:r>
        <w:rPr>
          <w:rFonts w:hint="eastAsia"/>
        </w:rPr>
        <w:t>坚持以习近平新时代中国特色社会主义思想为指导，全面贯彻党的二十大精神，牢牢把握省委赋予达州的“三大定位”，立足达州交通枢纽、消费人群、产业集群优势，放大跨境电商综试区、国家和省级外贸转型升级基地和自贸协同改革先行区叠加政策效应，按照“33</w:t>
      </w:r>
      <w:r>
        <w:t>346</w:t>
      </w:r>
      <w:r>
        <w:rPr>
          <w:rFonts w:hint="eastAsia"/>
        </w:rPr>
        <w:t>”发展思路，加快培育跨境电商新模式，释放产业转型新动能，构建跨境电商完整的产业链和生态圈，将达州综试区建成立足达州、服务周边、链接“一带一路”沿线国家和地区的外贸高质量发展新高地，积极探索推动跨境电商健康发展可复制、可推广的新经验。</w:t>
      </w:r>
    </w:p>
    <w:p>
      <w:pPr>
        <w:spacing w:line="592" w:lineRule="exact"/>
        <w:ind w:firstLine="640" w:firstLineChars="200"/>
        <w:rPr>
          <w:rFonts w:ascii="楷体_GB2312" w:hAnsi="楷体_GB2312" w:eastAsia="楷体_GB2312" w:cs="楷体_GB2312"/>
        </w:rPr>
      </w:pPr>
      <w:r>
        <w:rPr>
          <w:rFonts w:hint="eastAsia" w:ascii="楷体_GB2312" w:hAnsi="楷体_GB2312" w:eastAsia="楷体_GB2312" w:cs="楷体_GB2312"/>
        </w:rPr>
        <w:t>（二）特色定位</w:t>
      </w:r>
    </w:p>
    <w:p>
      <w:pPr>
        <w:spacing w:line="592" w:lineRule="exact"/>
        <w:ind w:firstLine="640" w:firstLineChars="200"/>
      </w:pPr>
      <w:r>
        <w:rPr>
          <w:rFonts w:hint="eastAsia"/>
        </w:rPr>
        <w:t>1</w:t>
      </w:r>
      <w:r>
        <w:t>.</w:t>
      </w:r>
      <w:r>
        <w:rPr>
          <w:rFonts w:hint="eastAsia"/>
        </w:rPr>
        <w:t>聚焦“物流枢纽+跨境电子商务”定位。依托达州物流节点及海陆空联运的物流优势，将综试区发展融入东出北上国际陆港枢纽建设进程，加快推动</w:t>
      </w:r>
      <w:bookmarkStart w:id="0" w:name="_Hlk126417294"/>
      <w:r>
        <w:rPr>
          <w:rFonts w:hint="eastAsia"/>
        </w:rPr>
        <w:t>保税物流中心（B型）</w:t>
      </w:r>
      <w:bookmarkEnd w:id="0"/>
      <w:r>
        <w:rPr>
          <w:rFonts w:hint="eastAsia"/>
        </w:rPr>
        <w:t>、海外仓、开放口岸和国际国内班列建设，打造跨境电子商务国际物流区域分拨中心。</w:t>
      </w:r>
    </w:p>
    <w:p>
      <w:pPr>
        <w:spacing w:line="592" w:lineRule="exact"/>
        <w:ind w:firstLine="640" w:firstLineChars="200"/>
      </w:pPr>
      <w:r>
        <w:rPr>
          <w:rFonts w:hint="eastAsia"/>
        </w:rPr>
        <w:t>2</w:t>
      </w:r>
      <w:r>
        <w:t>.</w:t>
      </w:r>
      <w:r>
        <w:rPr>
          <w:rFonts w:hint="eastAsia"/>
        </w:rPr>
        <w:t>聚焦“消费中心+跨境电子商务”定位。发挥达州“人气大市”和“消费强市”优势，将综试区建设融入区域消费中心城市建设进程，培育零售新模式，汇聚跨境商品消费人气，打造跨境电子商务国际商品区域消费中心。</w:t>
      </w:r>
    </w:p>
    <w:p>
      <w:pPr>
        <w:spacing w:line="592" w:lineRule="exact"/>
        <w:ind w:firstLine="640" w:firstLineChars="200"/>
      </w:pPr>
      <w:r>
        <w:rPr>
          <w:rFonts w:hint="eastAsia"/>
        </w:rPr>
        <w:t>3</w:t>
      </w:r>
      <w:r>
        <w:t>.</w:t>
      </w:r>
      <w:r>
        <w:rPr>
          <w:rFonts w:hint="eastAsia"/>
        </w:rPr>
        <w:t>聚焦“产业集群+跨境电子商务”定位。基于达州现代产业集群和生产要素优势，将综试区建设融入“制造强市”战略，按照一地一特色原则，推动特色优势产业外贸转型升级，打造跨境电子商务产业赋能示范中心。</w:t>
      </w:r>
    </w:p>
    <w:p>
      <w:pPr>
        <w:spacing w:line="592" w:lineRule="exact"/>
        <w:ind w:firstLine="640" w:firstLineChars="200"/>
        <w:rPr>
          <w:rFonts w:ascii="楷体_GB2312" w:hAnsi="楷体_GB2312" w:eastAsia="楷体_GB2312" w:cs="楷体_GB2312"/>
        </w:rPr>
      </w:pPr>
      <w:r>
        <w:rPr>
          <w:rFonts w:hint="eastAsia" w:ascii="楷体_GB2312" w:hAnsi="楷体_GB2312" w:eastAsia="楷体_GB2312" w:cs="楷体_GB2312"/>
        </w:rPr>
        <w:t>（三）发展目标</w:t>
      </w:r>
    </w:p>
    <w:p>
      <w:pPr>
        <w:spacing w:line="592" w:lineRule="exact"/>
        <w:ind w:firstLine="640" w:firstLineChars="200"/>
      </w:pPr>
      <w:r>
        <w:rPr>
          <w:rFonts w:hint="eastAsia"/>
        </w:rPr>
        <w:t>到2</w:t>
      </w:r>
      <w:r>
        <w:t>024</w:t>
      </w:r>
      <w:r>
        <w:rPr>
          <w:rFonts w:hint="eastAsia"/>
        </w:rPr>
        <w:t>年底，规划建设跨境电商产业园不低于</w:t>
      </w:r>
      <w:r>
        <w:rPr>
          <w:rFonts w:ascii="Calibri" w:hAnsi="Calibri" w:cs="Calibri"/>
        </w:rPr>
        <w:t>2</w:t>
      </w:r>
      <w:r>
        <w:rPr>
          <w:rFonts w:hint="eastAsia" w:ascii="Calibri" w:hAnsi="Calibri" w:cs="Calibri"/>
        </w:rPr>
        <w:t>个</w:t>
      </w:r>
      <w:r>
        <w:rPr>
          <w:rFonts w:hint="eastAsia"/>
        </w:rPr>
        <w:t>，累计引进和培育跨境电商主体不低于</w:t>
      </w:r>
      <w:r>
        <w:t>200</w:t>
      </w:r>
      <w:r>
        <w:rPr>
          <w:rFonts w:hint="eastAsia"/>
        </w:rPr>
        <w:t>家，力争实现跨境电子商务进出口年交易额超</w:t>
      </w:r>
      <w:r>
        <w:t>20</w:t>
      </w:r>
      <w:r>
        <w:rPr>
          <w:rFonts w:hint="eastAsia"/>
        </w:rPr>
        <w:t>亿元。到2</w:t>
      </w:r>
      <w:r>
        <w:t>026</w:t>
      </w:r>
      <w:r>
        <w:rPr>
          <w:rFonts w:hint="eastAsia"/>
        </w:rPr>
        <w:t>年底，全市建成跨境电商产业园不低于</w:t>
      </w:r>
      <w:r>
        <w:rPr>
          <w:rFonts w:ascii="Calibri" w:hAnsi="Calibri" w:cs="Calibri"/>
        </w:rPr>
        <w:t>5</w:t>
      </w:r>
      <w:r>
        <w:rPr>
          <w:rFonts w:hint="eastAsia" w:ascii="Calibri" w:hAnsi="Calibri" w:cs="Calibri"/>
        </w:rPr>
        <w:t>个</w:t>
      </w:r>
      <w:r>
        <w:rPr>
          <w:rFonts w:hint="eastAsia"/>
        </w:rPr>
        <w:t>，扶持跨境物流、海外仓、保税仓、展销店等项目不低于5个，累计引进和培育跨境电商主体不低于</w:t>
      </w:r>
      <w:r>
        <w:t>50</w:t>
      </w:r>
      <w:r>
        <w:rPr>
          <w:rFonts w:hint="eastAsia"/>
        </w:rPr>
        <w:t>0家，从事跨境电商的专业人才</w:t>
      </w:r>
      <w:r>
        <w:t>4000</w:t>
      </w:r>
      <w:r>
        <w:rPr>
          <w:rFonts w:hint="eastAsia"/>
        </w:rPr>
        <w:t>人，本地高校和职业院校设置跨境电商专业不低于2个，实现跨境电商进出口年交易额超</w:t>
      </w:r>
      <w:r>
        <w:t>40</w:t>
      </w:r>
      <w:r>
        <w:rPr>
          <w:rFonts w:hint="eastAsia"/>
        </w:rPr>
        <w:t>亿元。</w:t>
      </w:r>
    </w:p>
    <w:p>
      <w:pPr>
        <w:spacing w:line="592" w:lineRule="exact"/>
        <w:ind w:firstLine="640" w:firstLineChars="200"/>
        <w:rPr>
          <w:rFonts w:ascii="楷体_GB2312" w:hAnsi="楷体_GB2312" w:eastAsia="楷体_GB2312" w:cs="楷体_GB2312"/>
        </w:rPr>
      </w:pPr>
      <w:r>
        <w:rPr>
          <w:rFonts w:hint="eastAsia" w:ascii="楷体_GB2312" w:hAnsi="楷体_GB2312" w:eastAsia="楷体_GB2312" w:cs="楷体_GB2312"/>
        </w:rPr>
        <w:t>（四）功能布局</w:t>
      </w:r>
    </w:p>
    <w:p>
      <w:pPr>
        <w:spacing w:line="592" w:lineRule="exact"/>
        <w:ind w:firstLine="640" w:firstLineChars="200"/>
      </w:pPr>
      <w:r>
        <w:rPr>
          <w:rFonts w:hint="eastAsia"/>
        </w:rPr>
        <w:t>坚持突出特色、错位发展的原则，构建“一核两区多极”的功能布局。依托高新区的保税物流中心（B型）、铁路运输类海关监管场所等开放平台，建设市级跨境电商产业园，打造跨境电商产业聚集核心区。借助通川区、达川区的人流、物流优势，建设跨境电商产品展示展销中心、跨境电商孵化园等，探索发展新业态新模式先行区。结合万源市、宣汉县、大竹县、渠县、开江县和东部经开区产业特点和外贸基础，建设一批跨境电商产业赋能示范园区，加快培育跨境电商增长极。</w:t>
      </w:r>
    </w:p>
    <w:p>
      <w:pPr>
        <w:tabs>
          <w:tab w:val="left" w:pos="0"/>
        </w:tabs>
        <w:spacing w:line="592" w:lineRule="exact"/>
        <w:ind w:firstLine="640" w:firstLineChars="200"/>
        <w:rPr>
          <w:rFonts w:hAnsi="黑体" w:eastAsia="黑体"/>
        </w:rPr>
      </w:pPr>
      <w:r>
        <w:rPr>
          <w:rFonts w:hint="eastAsia" w:hAnsi="黑体" w:eastAsia="黑体"/>
        </w:rPr>
        <w:t>二、重点任务</w:t>
      </w:r>
    </w:p>
    <w:p>
      <w:pPr>
        <w:snapToGrid w:val="0"/>
        <w:spacing w:line="592" w:lineRule="exact"/>
        <w:ind w:firstLine="640" w:firstLineChars="200"/>
        <w:textAlignment w:val="bottom"/>
        <w:rPr>
          <w:rFonts w:ascii="楷体_GB2312" w:hAnsi="楷体_GB2312" w:eastAsia="楷体_GB2312" w:cs="楷体_GB2312"/>
        </w:rPr>
      </w:pPr>
      <w:r>
        <w:rPr>
          <w:rFonts w:hint="eastAsia" w:ascii="楷体_GB2312" w:hAnsi="楷体_GB2312" w:eastAsia="楷体_GB2312" w:cs="楷体_GB2312"/>
        </w:rPr>
        <w:t>（一）搭建三大平台</w:t>
      </w:r>
    </w:p>
    <w:p>
      <w:pPr>
        <w:spacing w:line="592" w:lineRule="exact"/>
        <w:ind w:firstLine="640" w:firstLineChars="200"/>
      </w:pPr>
      <w:r>
        <w:rPr>
          <w:rFonts w:hint="eastAsia"/>
        </w:rPr>
        <w:t>1.打造线上公共服务平台。对接中国（四川） 国际贸易“单一窗口”已有的跨境电商通关、出口退税等服务功能，建设中国（达州）跨境电子商务公共服务平台（以下简称“公服平台”），为各类开展跨境电商进出口业务的市场主体提供集通关、物流、退（免）税、支付、融资、风控、人才培训等多种功能于一体的“一站式”服务，引进第三方交易、外贸综合服务、综合供应链等企业，实现通关全程无纸化，提高通关效率。</w:t>
      </w:r>
    </w:p>
    <w:p>
      <w:pPr>
        <w:spacing w:line="592" w:lineRule="exact"/>
        <w:ind w:firstLine="640" w:firstLineChars="200"/>
      </w:pPr>
      <w:r>
        <w:rPr>
          <w:rFonts w:hint="eastAsia"/>
        </w:rPr>
        <w:t>2.建设线下产业园区平台。高起点高标准规划建设一批跨境电商产业园，聚集一批跨境电商龙头企业，完善第三方平台、代运营、设计、创意、推广、摄影、物流、金融、信息服务、外贸服务等配套产业，提升跨境电商产业的综合服务水平，促进传统对外贸易转型升级，推动特色产品、自主品牌走向世界。</w:t>
      </w:r>
    </w:p>
    <w:p>
      <w:pPr>
        <w:spacing w:line="592" w:lineRule="exact"/>
        <w:ind w:firstLine="640" w:firstLineChars="200"/>
      </w:pPr>
      <w:r>
        <w:rPr>
          <w:rFonts w:hint="eastAsia"/>
        </w:rPr>
        <w:t>3</w:t>
      </w:r>
      <w:r>
        <w:t>.</w:t>
      </w:r>
      <w:r>
        <w:rPr>
          <w:rFonts w:hint="eastAsia"/>
        </w:rPr>
        <w:t>搭建跨境电商研究平台。与四川文理学院共建中国（达州）跨境电商综合试验区产业研究院，市、校组建联合研究团队，围绕跨境电商政策研究、主体培育、品牌打造、模式创新、金融创新、物流体系建设等问题开展研究，定期发布一批高质量创新研究成果；承接跨境电商领域的创业沙龙、业务培训等活动。</w:t>
      </w:r>
    </w:p>
    <w:p>
      <w:pPr>
        <w:snapToGrid w:val="0"/>
        <w:spacing w:line="592" w:lineRule="exact"/>
        <w:ind w:firstLine="640" w:firstLineChars="200"/>
        <w:textAlignment w:val="bottom"/>
        <w:rPr>
          <w:rFonts w:ascii="楷体_GB2312" w:hAnsi="楷体_GB2312" w:eastAsia="楷体_GB2312" w:cs="楷体_GB2312"/>
        </w:rPr>
      </w:pPr>
      <w:r>
        <w:rPr>
          <w:rFonts w:hint="eastAsia" w:ascii="楷体_GB2312" w:hAnsi="楷体_GB2312" w:eastAsia="楷体_GB2312" w:cs="楷体_GB2312"/>
        </w:rPr>
        <w:t>（二）实施三大工程</w:t>
      </w:r>
    </w:p>
    <w:p>
      <w:pPr>
        <w:spacing w:line="592" w:lineRule="exact"/>
        <w:ind w:firstLine="640" w:firstLineChars="200"/>
      </w:pPr>
      <w:r>
        <w:rPr>
          <w:rFonts w:hint="eastAsia"/>
        </w:rPr>
        <w:t>1</w:t>
      </w:r>
      <w:r>
        <w:t>.</w:t>
      </w:r>
      <w:r>
        <w:rPr>
          <w:rFonts w:hint="eastAsia"/>
        </w:rPr>
        <w:t>主体培育工程</w:t>
      </w:r>
    </w:p>
    <w:p>
      <w:pPr>
        <w:spacing w:line="592" w:lineRule="exact"/>
        <w:ind w:firstLine="640" w:firstLineChars="200"/>
      </w:pPr>
      <w:r>
        <w:rPr>
          <w:rFonts w:hint="eastAsia"/>
        </w:rPr>
        <w:t>招大引强扩大增量。加大招商引资力度，赴上海、杭州、广州、深圳等地开展多种形式的招商活动，积极参加各类跨境电商交易博览会、跨境电商发展交流会，宣传推介达州综试区特色亮点，吸引跨境电商平台、主体经营者、服务型企业在达州设立总部或区域性、功能性总部，吸引全国各地的达州籍跨境电商创业者布局达州市场。</w:t>
      </w:r>
    </w:p>
    <w:p>
      <w:pPr>
        <w:spacing w:line="592" w:lineRule="exact"/>
        <w:ind w:firstLine="640" w:firstLineChars="200"/>
      </w:pPr>
      <w:r>
        <w:rPr>
          <w:rFonts w:hint="eastAsia"/>
        </w:rPr>
        <w:t>扶持企业优化存量。深度挖掘专精特新“小巨人”企业的外贸潜力，重点引导磷硫化工、微玻纤新材料、电子信息、轻纺服饰、竹编手工艺产品等产业转型升级，开展跨境电商业务。支持符合条件的跨境电商企业申报国家高新技术企业，深耕垂直市场，走“专精特新”发展之路。积极培育本土贸易型跨境电商企业。</w:t>
      </w:r>
    </w:p>
    <w:p>
      <w:pPr>
        <w:spacing w:line="592" w:lineRule="exact"/>
        <w:ind w:firstLine="640" w:firstLineChars="200"/>
      </w:pPr>
      <w:r>
        <w:rPr>
          <w:rFonts w:hint="eastAsia"/>
        </w:rPr>
        <w:t>发挥双创平台功能。借助达州高校创新创业俱乐部、众创空间等平台，加大政策扶持力度，鼓励支持在校大学生开展跨境电商创新创业。组织跨境电商行业交流，加强跨境电商服务企业与生产型企业资源对接，充分链接市场与产品，激发跨境电商主体活力。</w:t>
      </w:r>
    </w:p>
    <w:p>
      <w:pPr>
        <w:spacing w:line="592" w:lineRule="exact"/>
        <w:ind w:firstLine="640" w:firstLineChars="200"/>
      </w:pPr>
      <w:r>
        <w:t>2.</w:t>
      </w:r>
      <w:r>
        <w:rPr>
          <w:rFonts w:hint="eastAsia"/>
        </w:rPr>
        <w:t>产业带出海工程</w:t>
      </w:r>
    </w:p>
    <w:p>
      <w:pPr>
        <w:spacing w:line="592" w:lineRule="exact"/>
        <w:ind w:firstLine="640" w:firstLineChars="200"/>
      </w:pPr>
      <w:r>
        <w:rPr>
          <w:rFonts w:hint="eastAsia"/>
        </w:rPr>
        <w:t>能源化工产业带出海。鼓励</w:t>
      </w:r>
      <w:r>
        <w:t>磷酸二氢铵、磷酸二氢钾等化工产品</w:t>
      </w:r>
      <w:r>
        <w:rPr>
          <w:rFonts w:hint="eastAsia"/>
        </w:rPr>
        <w:t>的生产企业，完善国际营销和服务体系，以境外设点、项目合作等方式扩展海外市场。鼓励锂钾产业抢抓达州建设万达开天然气锂钾综合利用集聚区的契机，大力引进外向型企业，积极拓展国际市场。</w:t>
      </w:r>
    </w:p>
    <w:p>
      <w:pPr>
        <w:spacing w:line="592" w:lineRule="exact"/>
        <w:ind w:firstLine="640" w:firstLineChars="200"/>
      </w:pPr>
      <w:r>
        <w:rPr>
          <w:rFonts w:hint="eastAsia"/>
        </w:rPr>
        <w:t>新材料产业带出海。依托四川宣汉普光经开区省级外贸转型升级基地（新材料），发挥全国最大的超细玻璃纤维棉生产基地的产业集群优势，将跨境电商融入产业创新体系，促进产品向多元化、高端化、国际化方向发展。</w:t>
      </w:r>
    </w:p>
    <w:p>
      <w:pPr>
        <w:spacing w:line="592" w:lineRule="exact"/>
        <w:ind w:firstLine="640" w:firstLineChars="200"/>
      </w:pPr>
      <w:r>
        <w:rPr>
          <w:rFonts w:hint="eastAsia"/>
        </w:rPr>
        <w:t>农产品加工产业带出海。支持行业龙头企业建设独立站，打通跨境出口渠道。支持“醪糟”“白茶”“灯影牛肉”等产品，健全外向型产业链，针对国际市场需求创新开发产品，助力达州美味“飘香”海外。</w:t>
      </w:r>
    </w:p>
    <w:p>
      <w:pPr>
        <w:pStyle w:val="2"/>
        <w:spacing w:line="592" w:lineRule="exact"/>
        <w:ind w:firstLine="640" w:firstLineChars="200"/>
      </w:pPr>
      <w:r>
        <w:rPr>
          <w:rFonts w:hint="eastAsia"/>
        </w:rPr>
        <w:t>电子信息产业带出海。依托达州高新区省级外贸转型升级基地（电子信息）、川渝合作（达州·大竹）示范园区等平台，打造产销一体的跨境电商进出口示范基地，鼓励充电器、充电桩、便携式储能电源等产品发展自主品牌。</w:t>
      </w:r>
    </w:p>
    <w:p>
      <w:pPr>
        <w:spacing w:line="592" w:lineRule="exact"/>
        <w:ind w:firstLine="640" w:firstLineChars="200"/>
      </w:pPr>
      <w:r>
        <w:rPr>
          <w:rFonts w:hint="eastAsia"/>
        </w:rPr>
        <w:t>智能制造产业带出海。发挥达州汽摩配件以及橡胶油管等产品竞争优势，支持建立垂直型平台和独立站，打造跨境电商自主品牌，增强优势产品国际影响力，提高品牌出海利润率和抗风险能力。</w:t>
      </w:r>
    </w:p>
    <w:p>
      <w:pPr>
        <w:spacing w:line="592" w:lineRule="exact"/>
        <w:ind w:firstLine="640" w:firstLineChars="200"/>
      </w:pPr>
      <w:r>
        <w:rPr>
          <w:rFonts w:hint="eastAsia"/>
        </w:rPr>
        <w:t>纺织服饰产业带出海。依托渠县经开区国家级外贸转型升级基地（纺织服装），打造集服装设计、加工、交易、仓储物流、电子商务等环节于一体的跨境电商产业园，引导服装企业培育自主品牌。支持苎麻延长产业链，持续开发下游产品，丰富产品结构，开拓海外市场。</w:t>
      </w:r>
    </w:p>
    <w:p>
      <w:pPr>
        <w:snapToGrid w:val="0"/>
        <w:spacing w:line="592" w:lineRule="exact"/>
        <w:ind w:firstLine="640" w:firstLineChars="200"/>
        <w:textAlignment w:val="bottom"/>
        <w:rPr>
          <w:rFonts w:ascii="楷体_GB2312" w:hAnsi="楷体_GB2312" w:eastAsia="楷体_GB2312" w:cs="楷体_GB2312"/>
        </w:rPr>
      </w:pPr>
      <w:r>
        <w:rPr>
          <w:rFonts w:ascii="楷体_GB2312" w:hAnsi="楷体_GB2312" w:eastAsia="楷体_GB2312" w:cs="楷体_GB2312"/>
        </w:rPr>
        <w:t>3.</w:t>
      </w:r>
      <w:r>
        <w:rPr>
          <w:rFonts w:hint="eastAsia" w:ascii="楷体_GB2312" w:hAnsi="楷体_GB2312" w:eastAsia="楷体_GB2312" w:cs="楷体_GB2312"/>
        </w:rPr>
        <w:t>新模式培育工程</w:t>
      </w:r>
    </w:p>
    <w:p>
      <w:pPr>
        <w:spacing w:line="592" w:lineRule="exact"/>
        <w:ind w:firstLine="640" w:firstLineChars="200"/>
      </w:pPr>
      <w:r>
        <w:rPr>
          <w:rFonts w:hint="eastAsia"/>
        </w:rPr>
        <w:t>培育跨境直播电商。加大化妆品、宠物用品、母婴用品、酒水等产品进口，支持“保税仓直播”“社交电商”等模式发展。借助亚马逊、</w:t>
      </w:r>
      <w:r>
        <w:t>TikTok</w:t>
      </w:r>
      <w:r>
        <w:rPr>
          <w:rFonts w:hint="eastAsia"/>
        </w:rPr>
        <w:t>等跨境直播平台，鼓励各类主体开展跨境直播，实现不同语种的主播向世界展示达州好物。</w:t>
      </w:r>
    </w:p>
    <w:p>
      <w:pPr>
        <w:spacing w:line="592" w:lineRule="exact"/>
        <w:ind w:firstLine="640" w:firstLineChars="200"/>
      </w:pPr>
      <w:r>
        <w:rPr>
          <w:rFonts w:hint="eastAsia"/>
        </w:rPr>
        <w:t>开设跨境O2O体验店。积极开展“保税+实体新零售”业务创新，重点在通川区、达川区等地的主要商圈开设跨境电商线上线下（O</w:t>
      </w:r>
      <w:r>
        <w:t>2O</w:t>
      </w:r>
      <w:r>
        <w:rPr>
          <w:rFonts w:hint="eastAsia"/>
        </w:rPr>
        <w:t>）体验店，提供跨境商品线下展示体验、线上下单快速配送服务，提升城市消费品位，增强区域消费中心城市活力。</w:t>
      </w:r>
    </w:p>
    <w:p>
      <w:pPr>
        <w:spacing w:line="592" w:lineRule="exact"/>
        <w:ind w:firstLine="640" w:firstLineChars="200"/>
      </w:pPr>
      <w:r>
        <w:rPr>
          <w:rFonts w:hint="eastAsia"/>
        </w:rPr>
        <w:t>培育跨境M</w:t>
      </w:r>
      <w:r>
        <w:t>2C</w:t>
      </w:r>
      <w:r>
        <w:rPr>
          <w:rFonts w:hint="eastAsia"/>
        </w:rPr>
        <w:t>新模式。以“数字技术+跨境电商”为依托，大力推进工厂对消费者（M2C）模式发展，促进制造企业主动适应订单碎片化的特点，为境外消费者提供个性化、定制化、小众化产品，助力实现制造企业柔性化、数字化的转型升级。</w:t>
      </w:r>
    </w:p>
    <w:p>
      <w:pPr>
        <w:snapToGrid w:val="0"/>
        <w:spacing w:line="592" w:lineRule="exact"/>
        <w:ind w:firstLine="640" w:firstLineChars="200"/>
        <w:textAlignment w:val="bottom"/>
        <w:rPr>
          <w:rFonts w:ascii="楷体_GB2312" w:hAnsi="楷体_GB2312" w:eastAsia="楷体_GB2312" w:cs="楷体_GB2312"/>
        </w:rPr>
      </w:pPr>
      <w:r>
        <w:rPr>
          <w:rFonts w:hint="eastAsia" w:ascii="楷体_GB2312" w:hAnsi="楷体_GB2312" w:eastAsia="楷体_GB2312" w:cs="楷体_GB2312"/>
        </w:rPr>
        <w:t>（三）做实三大支撑</w:t>
      </w:r>
    </w:p>
    <w:p>
      <w:pPr>
        <w:spacing w:line="592" w:lineRule="exact"/>
        <w:ind w:firstLine="640" w:firstLineChars="200"/>
      </w:pPr>
      <w:r>
        <w:t>1.</w:t>
      </w:r>
      <w:r>
        <w:rPr>
          <w:rFonts w:hint="eastAsia"/>
        </w:rPr>
        <w:t>强化人才培育</w:t>
      </w:r>
    </w:p>
    <w:p>
      <w:pPr>
        <w:spacing w:line="578" w:lineRule="exact"/>
        <w:ind w:firstLine="640"/>
      </w:pPr>
      <w:r>
        <w:rPr>
          <w:rFonts w:hint="eastAsia"/>
        </w:rPr>
        <w:t>促进高端人才加快集聚。</w:t>
      </w:r>
      <w:r>
        <w:t>通过“达人计划”“达人英才计划”，大力引进兼具国际贸易、国际物流、电子商务、跨境营销特</w:t>
      </w:r>
      <w:r>
        <w:rPr>
          <w:rFonts w:hint="eastAsia"/>
        </w:rPr>
        <w:t>长</w:t>
      </w:r>
      <w:r>
        <w:t>的高端复合型人才。</w:t>
      </w:r>
      <w:r>
        <w:rPr>
          <w:rFonts w:hint="eastAsia"/>
        </w:rPr>
        <w:t>持续完善跨境电商人才“引、育、留、用”机制，加快集聚国际高端人才，打造跨境电商人才服务生态圈。</w:t>
      </w:r>
    </w:p>
    <w:p>
      <w:pPr>
        <w:spacing w:line="592" w:lineRule="exact"/>
        <w:ind w:firstLine="640" w:firstLineChars="200"/>
      </w:pPr>
      <w:r>
        <w:rPr>
          <w:rFonts w:hint="eastAsia"/>
        </w:rPr>
        <w:t>设置电子商务专业课程。支持达州高等院校、中职学校和社会培训机构开设电子商务相关专业和课程。鼓励教学主体与具有成熟跨境电商产业运营经验的主体合作，共同为达州跨境电商行业培育技能型、实用型、服务型人才，鼓励跨境电商相关专业学生到本地企业实习就业。</w:t>
      </w:r>
      <w:r>
        <w:t xml:space="preserve"> </w:t>
      </w:r>
    </w:p>
    <w:p>
      <w:pPr>
        <w:spacing w:line="592" w:lineRule="exact"/>
        <w:ind w:firstLine="640" w:firstLineChars="200"/>
      </w:pPr>
      <w:r>
        <w:rPr>
          <w:rFonts w:hint="eastAsia"/>
        </w:rPr>
        <w:t>实施跨境电商培训计划。</w:t>
      </w:r>
      <w:r>
        <w:t>在电子商务类培训班设置跨境电商专题课程</w:t>
      </w:r>
      <w:r>
        <w:rPr>
          <w:rFonts w:hint="eastAsia"/>
        </w:rPr>
        <w:t>，提高管理服务人员业务水平。开展企业跨境电商培训活动，提供企业经营管理人员跨境电商知识。鼓励院校、行业协会、企业举办各类交流活动，凝聚更多思想共识，提高人才素养和创新能力。</w:t>
      </w:r>
    </w:p>
    <w:p>
      <w:pPr>
        <w:spacing w:line="592" w:lineRule="exact"/>
        <w:ind w:firstLine="640" w:firstLineChars="200"/>
      </w:pPr>
      <w:r>
        <w:t>2.</w:t>
      </w:r>
      <w:r>
        <w:rPr>
          <w:rFonts w:hint="eastAsia"/>
        </w:rPr>
        <w:t>创新金融服务</w:t>
      </w:r>
    </w:p>
    <w:p>
      <w:pPr>
        <w:spacing w:line="592" w:lineRule="exact"/>
        <w:ind w:firstLine="640" w:firstLineChars="200"/>
      </w:pPr>
      <w:r>
        <w:rPr>
          <w:rFonts w:hint="eastAsia"/>
        </w:rPr>
        <w:t>深化跨境电商外汇支付业务试点。鼓励第三方支付机构通过银行为中小电商集中办理跨境外汇支付和结售汇业务，在综合考虑业务需求、风险控制的基础上，逐步提高货物贸易单笔金额上限。拓展第三方支付机构跨境支付业务范围，涵盖进口和出口以及各类跨境电子商务交易形态。</w:t>
      </w:r>
    </w:p>
    <w:p>
      <w:pPr>
        <w:spacing w:line="592" w:lineRule="exact"/>
        <w:ind w:firstLine="640" w:firstLineChars="200"/>
      </w:pPr>
      <w:r>
        <w:rPr>
          <w:rFonts w:hint="eastAsia"/>
        </w:rPr>
        <w:t>开展个人贸易外汇管理创新。</w:t>
      </w:r>
      <w:r>
        <w:rPr>
          <w:rFonts w:hint="eastAsia" w:ascii="仿宋_GB2312" w:hAnsi="仿宋_GB2312" w:cs="仿宋_GB2312"/>
        </w:rPr>
        <w:t>从事跨境电子商务的境内个人，可通过个人外汇账户办理跨境电子商务外汇结算。境内个人办理跨境电子商务项下结售汇，提供有交易额的证明材料或交易电子信息的，不占用个人年度便利化额度。</w:t>
      </w:r>
    </w:p>
    <w:p>
      <w:pPr>
        <w:spacing w:line="592" w:lineRule="exact"/>
        <w:ind w:firstLine="640" w:firstLineChars="200"/>
      </w:pPr>
      <w:r>
        <w:rPr>
          <w:rFonts w:hint="eastAsia"/>
        </w:rPr>
        <w:t>发展跨境电商金融创新业务。在达州公服平台嵌入供应链金融服务功能模块，为跨境电商提供结算、融资、保险等金融服务。鼓励开展订单融资、仓单质押、保险理财等一站式跨境电商供应链金融服务。与海关、税务数据链接，开展跨境贷、税务贷等贷款业务。</w:t>
      </w:r>
    </w:p>
    <w:p>
      <w:pPr>
        <w:snapToGrid w:val="0"/>
        <w:spacing w:line="592" w:lineRule="exact"/>
        <w:ind w:firstLine="640" w:firstLineChars="200"/>
        <w:textAlignment w:val="bottom"/>
        <w:rPr>
          <w:rFonts w:ascii="楷体_GB2312" w:hAnsi="楷体_GB2312" w:eastAsia="楷体_GB2312" w:cs="楷体_GB2312"/>
        </w:rPr>
      </w:pPr>
      <w:r>
        <w:rPr>
          <w:rFonts w:ascii="楷体_GB2312" w:hAnsi="楷体_GB2312" w:eastAsia="楷体_GB2312" w:cs="楷体_GB2312"/>
        </w:rPr>
        <w:t>3.</w:t>
      </w:r>
      <w:r>
        <w:rPr>
          <w:rFonts w:hint="eastAsia" w:ascii="楷体_GB2312" w:hAnsi="楷体_GB2312" w:eastAsia="楷体_GB2312" w:cs="楷体_GB2312"/>
        </w:rPr>
        <w:t>优化物流体系</w:t>
      </w:r>
    </w:p>
    <w:p>
      <w:pPr>
        <w:spacing w:line="592" w:lineRule="exact"/>
        <w:ind w:firstLine="640" w:firstLineChars="200"/>
      </w:pPr>
      <w:r>
        <w:rPr>
          <w:rFonts w:hint="eastAsia"/>
        </w:rPr>
        <w:t>构建跨境电商国际物流通道。加快保税物流中心（B型）申报进程，争取铁路运输类海关监管场所建设。推进达州与成都青白江、重庆团结村铁路枢纽和新田港、果园港、舟山港、防城港等港口合作，共享班列舱位、线路、平台等资源，提升铁水联运新格局。做优做强四川东出铁水联运班列，加快开行四川北上公铁联运班列，常态开行西部陆海新通道达州班列、中老班列和中欧班列，构建以东出、北上为重点，南下、西进为补充的“四向”国际通道。</w:t>
      </w:r>
    </w:p>
    <w:p>
      <w:pPr>
        <w:spacing w:line="592" w:lineRule="exact"/>
        <w:ind w:firstLine="640" w:firstLineChars="200"/>
      </w:pPr>
      <w:r>
        <w:rPr>
          <w:rFonts w:hint="eastAsia"/>
        </w:rPr>
        <w:t>探索共建共享海外仓模式。支持企业在“一带一路”沿线国家和达州商品主要出口市场设立海外仓，引导企业通过自建或租赁的方式建设海外仓，发挥进出口双向通道优势。探索与成都、重庆、舟山等城市建立海外仓共建共享机制。依托达州已有海外仓，建设达州商品海外展示展销中心。</w:t>
      </w:r>
    </w:p>
    <w:p>
      <w:pPr>
        <w:snapToGrid w:val="0"/>
        <w:spacing w:line="592" w:lineRule="exact"/>
        <w:ind w:firstLine="640" w:firstLineChars="200"/>
        <w:textAlignment w:val="bottom"/>
        <w:rPr>
          <w:rFonts w:ascii="楷体_GB2312" w:hAnsi="楷体_GB2312" w:eastAsia="楷体_GB2312" w:cs="楷体_GB2312"/>
        </w:rPr>
      </w:pPr>
      <w:r>
        <w:rPr>
          <w:rFonts w:hint="eastAsia" w:ascii="楷体_GB2312" w:hAnsi="楷体_GB2312" w:eastAsia="楷体_GB2312" w:cs="楷体_GB2312"/>
        </w:rPr>
        <w:t>（四）推广四大模式</w:t>
      </w:r>
    </w:p>
    <w:p>
      <w:pPr>
        <w:spacing w:line="592" w:lineRule="exact"/>
        <w:ind w:firstLine="640" w:firstLineChars="200"/>
      </w:pPr>
      <w:r>
        <w:rPr>
          <w:rFonts w:hint="eastAsia"/>
        </w:rPr>
        <w:t>1.推广跨境电子商务B2B直接出口监管模式（9710）</w:t>
      </w:r>
    </w:p>
    <w:p>
      <w:pPr>
        <w:spacing w:line="592" w:lineRule="exact"/>
        <w:ind w:firstLine="640" w:firstLineChars="200"/>
      </w:pPr>
      <w:r>
        <w:rPr>
          <w:rFonts w:hint="eastAsia"/>
        </w:rPr>
        <w:t>引导跨境电商企业采取9</w:t>
      </w:r>
      <w:r>
        <w:t>710</w:t>
      </w:r>
      <w:r>
        <w:rPr>
          <w:rFonts w:hint="eastAsia"/>
        </w:rPr>
        <w:t>模式报关，规范发展清单模式，便捷申报渠道，减少企业的出口环节和手续，降低通关成本，做大跨境电商B2B业务规模。</w:t>
      </w:r>
    </w:p>
    <w:p>
      <w:pPr>
        <w:spacing w:line="592" w:lineRule="exact"/>
        <w:ind w:firstLine="640" w:firstLineChars="200"/>
      </w:pPr>
      <w:r>
        <w:rPr>
          <w:rFonts w:hint="eastAsia"/>
        </w:rPr>
        <w:t>2.推广跨境电子商务出口海外仓监管模式（9810）</w:t>
      </w:r>
    </w:p>
    <w:p>
      <w:pPr>
        <w:spacing w:line="592" w:lineRule="exact"/>
        <w:ind w:firstLine="640" w:firstLineChars="200"/>
      </w:pPr>
      <w:r>
        <w:rPr>
          <w:rFonts w:hint="eastAsia"/>
        </w:rPr>
        <w:t>做大跨境电子商务海外仓出口规模，进一步为出口企业提供便利化退税服务，加速企业资金周转。完善查验体系，简化跨境电商货物转关流程。</w:t>
      </w:r>
    </w:p>
    <w:p>
      <w:pPr>
        <w:spacing w:line="592" w:lineRule="exact"/>
        <w:ind w:firstLine="640" w:firstLineChars="200"/>
      </w:pPr>
      <w:r>
        <w:rPr>
          <w:rFonts w:hint="eastAsia"/>
        </w:rPr>
        <w:t>3.推广保税跨境电子商务进口模式（1210）</w:t>
      </w:r>
    </w:p>
    <w:p>
      <w:pPr>
        <w:spacing w:line="592" w:lineRule="exact"/>
        <w:ind w:firstLine="640" w:firstLineChars="200"/>
      </w:pPr>
      <w:r>
        <w:rPr>
          <w:rFonts w:hint="eastAsia"/>
        </w:rPr>
        <w:t>加快推动达州保税物流中心（B型）申报工作，支持与成都、南充等周边城市合作，开展网购保税零售进口，补齐跨境电子商务进口短板。</w:t>
      </w:r>
      <w:r>
        <w:t xml:space="preserve"> </w:t>
      </w:r>
    </w:p>
    <w:p>
      <w:pPr>
        <w:spacing w:line="592" w:lineRule="exact"/>
        <w:ind w:firstLine="640" w:firstLineChars="200"/>
      </w:pPr>
      <w:r>
        <w:t>4</w:t>
      </w:r>
      <w:r>
        <w:rPr>
          <w:rFonts w:hint="eastAsia"/>
        </w:rPr>
        <w:t>.推广跨境电子商务零售出口模式（</w:t>
      </w:r>
      <w:r>
        <w:t>9610</w:t>
      </w:r>
      <w:r>
        <w:rPr>
          <w:rFonts w:hint="eastAsia"/>
        </w:rPr>
        <w:t>）</w:t>
      </w:r>
    </w:p>
    <w:p>
      <w:pPr>
        <w:spacing w:line="592" w:lineRule="exact"/>
        <w:ind w:firstLine="640" w:firstLineChars="200"/>
      </w:pPr>
      <w:r>
        <w:rPr>
          <w:rFonts w:hint="eastAsia"/>
        </w:rPr>
        <w:t>拓展跨境电子商务邮件和商业快递通关服务能力，探索“</w:t>
      </w:r>
      <w:r>
        <w:t>9610</w:t>
      </w:r>
      <w:r>
        <w:rPr>
          <w:rFonts w:hint="eastAsia"/>
        </w:rPr>
        <w:t>+海铁联运”“9</w:t>
      </w:r>
      <w:r>
        <w:t>610+</w:t>
      </w:r>
      <w:r>
        <w:rPr>
          <w:rFonts w:hint="eastAsia"/>
        </w:rPr>
        <w:t>国际邮路”出口等模式，做大做强跨境电商零售出口业务。</w:t>
      </w:r>
    </w:p>
    <w:p>
      <w:pPr>
        <w:snapToGrid w:val="0"/>
        <w:spacing w:line="592" w:lineRule="exact"/>
        <w:ind w:firstLine="640" w:firstLineChars="200"/>
        <w:textAlignment w:val="bottom"/>
        <w:rPr>
          <w:rFonts w:ascii="楷体_GB2312" w:hAnsi="楷体_GB2312" w:eastAsia="楷体_GB2312" w:cs="楷体_GB2312"/>
        </w:rPr>
      </w:pPr>
      <w:r>
        <w:rPr>
          <w:rFonts w:hint="eastAsia" w:ascii="楷体_GB2312" w:hAnsi="楷体_GB2312" w:eastAsia="楷体_GB2312" w:cs="楷体_GB2312"/>
        </w:rPr>
        <w:t>（五）完善六大体系</w:t>
      </w:r>
    </w:p>
    <w:p>
      <w:pPr>
        <w:spacing w:line="592" w:lineRule="exact"/>
        <w:ind w:firstLine="640" w:firstLineChars="200"/>
      </w:pPr>
      <w:r>
        <w:rPr>
          <w:rFonts w:hint="eastAsia"/>
        </w:rPr>
        <w:t>1.完善信息共享体系</w:t>
      </w:r>
    </w:p>
    <w:p>
      <w:pPr>
        <w:spacing w:line="592" w:lineRule="exact"/>
        <w:ind w:firstLine="640" w:firstLineChars="200"/>
      </w:pPr>
      <w:r>
        <w:rPr>
          <w:rFonts w:hint="eastAsia"/>
        </w:rPr>
        <w:t>建设备案企业信息共享库和商品溯源数据库，实现“一次备案、多主体共享、全流程使用”。建立信息共享机制，实现政府部门、金融机构、第三方支付企业、电商企业、物流企业之间的信息互通互认，为跨境电子商务信息流、资金流、货物流“三流合一”提供数据技术支撑。</w:t>
      </w:r>
    </w:p>
    <w:p>
      <w:pPr>
        <w:spacing w:line="592" w:lineRule="exact"/>
        <w:ind w:firstLine="640" w:firstLineChars="200"/>
      </w:pPr>
      <w:r>
        <w:t>2</w:t>
      </w:r>
      <w:r>
        <w:rPr>
          <w:rFonts w:hint="eastAsia"/>
        </w:rPr>
        <w:t>.完善税务服务体系</w:t>
      </w:r>
    </w:p>
    <w:p>
      <w:pPr>
        <w:spacing w:line="592" w:lineRule="exact"/>
        <w:ind w:firstLine="640" w:firstLineChars="200"/>
      </w:pPr>
      <w:r>
        <w:rPr>
          <w:rFonts w:hint="eastAsia"/>
        </w:rPr>
        <w:t>落实国家关于跨境电商综合试验区相关进出口税收政策，对跨境电商企业出口货物，符合条件的可按规定适用出口退（免）税政策。依托公服平台，优化退（免）税办理流程，及时落实跨境电商零售出口增值税、消费税无票免征和企业所得税核定征收政策，降低出口企业成本。。</w:t>
      </w:r>
    </w:p>
    <w:p>
      <w:pPr>
        <w:spacing w:line="592" w:lineRule="exact"/>
        <w:ind w:firstLine="640" w:firstLineChars="200"/>
      </w:pPr>
      <w:r>
        <w:t>3</w:t>
      </w:r>
      <w:r>
        <w:rPr>
          <w:rFonts w:hint="eastAsia"/>
        </w:rPr>
        <w:t>.完善智慧物流体系</w:t>
      </w:r>
    </w:p>
    <w:p>
      <w:pPr>
        <w:spacing w:line="592" w:lineRule="exact"/>
        <w:ind w:firstLine="640" w:firstLineChars="200"/>
      </w:pPr>
      <w:r>
        <w:rPr>
          <w:rFonts w:hint="eastAsia"/>
        </w:rPr>
        <w:t>依托公服平台，运用物联网、区块链、大数据等技术，逐步搭建物流公共信息平台，实现物流各环节可验可测可控。鼓励有条件的物流企业，拓展国际物流服务，形成衔接顺畅、功能齐全的跨境物流分拨配送和运营服务体系。</w:t>
      </w:r>
    </w:p>
    <w:p>
      <w:pPr>
        <w:spacing w:line="592" w:lineRule="exact"/>
        <w:ind w:firstLine="640" w:firstLineChars="200"/>
      </w:pPr>
      <w:r>
        <w:t>4</w:t>
      </w:r>
      <w:r>
        <w:rPr>
          <w:rFonts w:hint="eastAsia"/>
        </w:rPr>
        <w:t>.完善信用监管体系</w:t>
      </w:r>
    </w:p>
    <w:p>
      <w:pPr>
        <w:spacing w:line="592" w:lineRule="exact"/>
        <w:ind w:firstLine="640" w:firstLineChars="200"/>
      </w:pPr>
      <w:r>
        <w:rPr>
          <w:rFonts w:hint="eastAsia"/>
        </w:rPr>
        <w:t>综合多方信用基础数据，探索建立跨境电商信用数据库和信用评价系统、信用监管系统、信用负面清单系统等“一库三系统”，记录和积累跨境电商企业、平台企业、物流企业及其他综合服务企业基础数据，建立以信用为基础的监管体系。</w:t>
      </w:r>
    </w:p>
    <w:p>
      <w:pPr>
        <w:spacing w:line="592" w:lineRule="exact"/>
        <w:ind w:firstLine="640" w:firstLineChars="200"/>
      </w:pPr>
      <w:r>
        <w:t>5</w:t>
      </w:r>
      <w:r>
        <w:rPr>
          <w:rFonts w:hint="eastAsia"/>
        </w:rPr>
        <w:t>.完善统计监测体系</w:t>
      </w:r>
    </w:p>
    <w:p>
      <w:pPr>
        <w:spacing w:line="592" w:lineRule="exact"/>
        <w:ind w:firstLine="640" w:firstLineChars="200"/>
      </w:pPr>
      <w:r>
        <w:rPr>
          <w:rFonts w:hint="eastAsia"/>
        </w:rPr>
        <w:t>建立以申报清单、平台数据为依据，以市场主体全样本调查为基础，以跨境电商平台交易情况、部门数据和抽样调查为补充的统计监测体系，并定期发布相关数据统计分析报告，为政府监管和企业经营提供决策咨询服务。</w:t>
      </w:r>
    </w:p>
    <w:p>
      <w:pPr>
        <w:spacing w:line="592" w:lineRule="exact"/>
        <w:ind w:firstLine="640" w:firstLineChars="200"/>
      </w:pPr>
      <w:r>
        <w:t>6</w:t>
      </w:r>
      <w:r>
        <w:rPr>
          <w:rFonts w:hint="eastAsia"/>
        </w:rPr>
        <w:t>.完善风险防控体系</w:t>
      </w:r>
    </w:p>
    <w:p>
      <w:pPr>
        <w:spacing w:line="592" w:lineRule="exact"/>
        <w:ind w:firstLine="640" w:firstLineChars="200"/>
      </w:pPr>
      <w:r>
        <w:rPr>
          <w:rFonts w:hint="eastAsia"/>
        </w:rPr>
        <w:t>基于大数据分析，实现对跨境电商关键环节的风险实现实时监测、识别和评估，有效防控非真实贸易洗钱的违法风险，数据存储、支付交易、网络安全的技术风险，以及产品食品安全、贸易摩擦、主体信用的交易风险。</w:t>
      </w:r>
    </w:p>
    <w:p>
      <w:pPr>
        <w:tabs>
          <w:tab w:val="left" w:pos="0"/>
        </w:tabs>
        <w:spacing w:line="592" w:lineRule="exact"/>
        <w:ind w:firstLine="640" w:firstLineChars="200"/>
        <w:rPr>
          <w:rFonts w:hAnsi="黑体" w:eastAsia="黑体"/>
        </w:rPr>
      </w:pPr>
      <w:r>
        <w:rPr>
          <w:rFonts w:hint="eastAsia" w:hAnsi="黑体" w:eastAsia="黑体"/>
        </w:rPr>
        <w:t>三、保障措施</w:t>
      </w:r>
    </w:p>
    <w:p>
      <w:pPr>
        <w:spacing w:line="592" w:lineRule="exact"/>
        <w:ind w:firstLine="640" w:firstLineChars="200"/>
        <w:jc w:val="left"/>
      </w:pPr>
      <w:r>
        <w:rPr>
          <w:rFonts w:hint="eastAsia"/>
        </w:rPr>
        <w:t>（一）组织保障</w:t>
      </w:r>
    </w:p>
    <w:p>
      <w:pPr>
        <w:spacing w:line="592" w:lineRule="exact"/>
        <w:ind w:firstLine="640" w:firstLineChars="200"/>
      </w:pPr>
      <w:r>
        <w:rPr>
          <w:rFonts w:hint="eastAsia"/>
        </w:rPr>
        <w:t>成立中国（达州）跨境电子商务综合试验区建设工作领导小组，由市长担任组长，分管常委和副市长担任副组长，相关部门为成员单位，领导小组办公室设在市商务局。设立跨境电商工作专班，跨境电商领导小组成员单位各派一名相关工作的人员，根据综试区发展建设需要，定期或不定期参与专班业务工作。</w:t>
      </w:r>
    </w:p>
    <w:p>
      <w:pPr>
        <w:spacing w:line="592" w:lineRule="exact"/>
        <w:ind w:firstLine="640" w:firstLineChars="200"/>
        <w:jc w:val="left"/>
      </w:pPr>
      <w:r>
        <w:rPr>
          <w:rFonts w:hint="eastAsia"/>
        </w:rPr>
        <w:t>（二）政策支持</w:t>
      </w:r>
    </w:p>
    <w:p>
      <w:pPr>
        <w:spacing w:line="592" w:lineRule="exact"/>
        <w:ind w:firstLine="640" w:firstLineChars="200"/>
      </w:pPr>
      <w:r>
        <w:rPr>
          <w:rFonts w:hint="eastAsia"/>
        </w:rPr>
        <w:t>制定出台支持达州综试区跨境电商产业发展的专项政策和配套措施，在公服平台和产业园区建设、重点功能园区运营、海外仓建设、物流体系建设、市场主体培育、新业态新模式培育、人才培养等方面加大扶持力度，促进跨境电商产业快速健康发展。鼓励各县（市、区）出台扶持政策，对跨境电商园区和项目建设、业务运营给予支持。</w:t>
      </w:r>
    </w:p>
    <w:p>
      <w:pPr>
        <w:spacing w:line="592" w:lineRule="exact"/>
        <w:ind w:firstLine="640" w:firstLineChars="200"/>
        <w:jc w:val="left"/>
      </w:pPr>
      <w:r>
        <w:rPr>
          <w:rFonts w:hint="eastAsia"/>
        </w:rPr>
        <w:t>（三）资金保障</w:t>
      </w:r>
    </w:p>
    <w:p>
      <w:pPr>
        <w:spacing w:line="592" w:lineRule="exact"/>
        <w:ind w:firstLine="640" w:firstLineChars="200"/>
      </w:pPr>
      <w:r>
        <w:rPr>
          <w:rFonts w:hint="eastAsia"/>
        </w:rPr>
        <w:t>市级层面设立跨境电商发展专项资金，主要用于达州综试区前期重点项目建设、招商引资以及后续园区发展、主体培育、项目孵化等方面。根据综试区建设和发展需求，积极向上争取支持，切实解决建设中的困难问题。充分发挥政策资金导向作用，吸引社会资本参与综试区软硬件基础设施建设及跨境电商企业融资孵化。</w:t>
      </w:r>
    </w:p>
    <w:p>
      <w:pPr>
        <w:spacing w:line="592" w:lineRule="exact"/>
        <w:ind w:firstLine="640" w:firstLineChars="200"/>
        <w:jc w:val="left"/>
        <w:rPr>
          <w:rFonts w:ascii="楷体_GB2312" w:hAnsi="楷体_GB2312" w:eastAsia="楷体_GB2312" w:cs="楷体_GB2312"/>
        </w:rPr>
      </w:pPr>
      <w:r>
        <w:rPr>
          <w:rFonts w:hint="eastAsia"/>
        </w:rPr>
        <w:t>（四）评估总结</w:t>
      </w:r>
    </w:p>
    <w:p>
      <w:pPr>
        <w:spacing w:line="592" w:lineRule="exact"/>
        <w:ind w:firstLine="640" w:firstLineChars="200"/>
      </w:pPr>
      <w:r>
        <w:rPr>
          <w:rFonts w:hint="eastAsia"/>
        </w:rPr>
        <w:t>综试区建设工作领导小组强化对跨境电商工作的考核激励，及时对试点工作进展情况进行跟踪分析，定期总结经验，开展综合评估，确保试点工作有序推进。及时宣传综试区建设的亮点和成效，营造跨境电商发展浓厚氛围，提升跨境电商产业发展质效。</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0773747"/>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5YjFlMWFkOTU5ZDE3MTI5YmViOGRhM2Q0NTVlYmMifQ=="/>
  </w:docVars>
  <w:rsids>
    <w:rsidRoot w:val="00731D6D"/>
    <w:rsid w:val="00004794"/>
    <w:rsid w:val="00004C7D"/>
    <w:rsid w:val="00004D6C"/>
    <w:rsid w:val="00006E8A"/>
    <w:rsid w:val="00011656"/>
    <w:rsid w:val="000171D4"/>
    <w:rsid w:val="00020456"/>
    <w:rsid w:val="0002488C"/>
    <w:rsid w:val="00025B5C"/>
    <w:rsid w:val="000263E5"/>
    <w:rsid w:val="000339D8"/>
    <w:rsid w:val="00033A73"/>
    <w:rsid w:val="00040732"/>
    <w:rsid w:val="00040A79"/>
    <w:rsid w:val="000414E4"/>
    <w:rsid w:val="0004492F"/>
    <w:rsid w:val="0004712F"/>
    <w:rsid w:val="00047E43"/>
    <w:rsid w:val="0005163A"/>
    <w:rsid w:val="000519B0"/>
    <w:rsid w:val="00051DF0"/>
    <w:rsid w:val="00052EC3"/>
    <w:rsid w:val="000538E2"/>
    <w:rsid w:val="0005420B"/>
    <w:rsid w:val="0006634C"/>
    <w:rsid w:val="000674ED"/>
    <w:rsid w:val="000757AB"/>
    <w:rsid w:val="0008014B"/>
    <w:rsid w:val="000810EF"/>
    <w:rsid w:val="00091769"/>
    <w:rsid w:val="00091C9A"/>
    <w:rsid w:val="000955B9"/>
    <w:rsid w:val="00097F7B"/>
    <w:rsid w:val="000A54AC"/>
    <w:rsid w:val="000A5A64"/>
    <w:rsid w:val="000A6E70"/>
    <w:rsid w:val="000B2BDC"/>
    <w:rsid w:val="000B30CC"/>
    <w:rsid w:val="000B58C4"/>
    <w:rsid w:val="000B6CEE"/>
    <w:rsid w:val="000C2E92"/>
    <w:rsid w:val="000C2FB1"/>
    <w:rsid w:val="000C5204"/>
    <w:rsid w:val="000C65E8"/>
    <w:rsid w:val="000C68EF"/>
    <w:rsid w:val="000C73B1"/>
    <w:rsid w:val="000D0924"/>
    <w:rsid w:val="000D2CAE"/>
    <w:rsid w:val="000D4450"/>
    <w:rsid w:val="000D5465"/>
    <w:rsid w:val="000D56B7"/>
    <w:rsid w:val="000D79F8"/>
    <w:rsid w:val="000E36B4"/>
    <w:rsid w:val="000E370E"/>
    <w:rsid w:val="000F05D2"/>
    <w:rsid w:val="000F5642"/>
    <w:rsid w:val="000F6444"/>
    <w:rsid w:val="000F78BA"/>
    <w:rsid w:val="00100FB3"/>
    <w:rsid w:val="00102479"/>
    <w:rsid w:val="00106454"/>
    <w:rsid w:val="00106475"/>
    <w:rsid w:val="00110EEA"/>
    <w:rsid w:val="001124A2"/>
    <w:rsid w:val="00114811"/>
    <w:rsid w:val="001148AA"/>
    <w:rsid w:val="00122326"/>
    <w:rsid w:val="00122D72"/>
    <w:rsid w:val="00126020"/>
    <w:rsid w:val="001316B3"/>
    <w:rsid w:val="00132ECC"/>
    <w:rsid w:val="00133F9A"/>
    <w:rsid w:val="00134C13"/>
    <w:rsid w:val="00135B5E"/>
    <w:rsid w:val="001423EB"/>
    <w:rsid w:val="001434F6"/>
    <w:rsid w:val="00143B8A"/>
    <w:rsid w:val="00144E74"/>
    <w:rsid w:val="00146663"/>
    <w:rsid w:val="00150F8F"/>
    <w:rsid w:val="00152B29"/>
    <w:rsid w:val="00163994"/>
    <w:rsid w:val="00163B35"/>
    <w:rsid w:val="0016506C"/>
    <w:rsid w:val="001663E4"/>
    <w:rsid w:val="00170671"/>
    <w:rsid w:val="001755BE"/>
    <w:rsid w:val="001779A5"/>
    <w:rsid w:val="0018128F"/>
    <w:rsid w:val="00186EC2"/>
    <w:rsid w:val="0019060B"/>
    <w:rsid w:val="00190DCE"/>
    <w:rsid w:val="0019340B"/>
    <w:rsid w:val="00193924"/>
    <w:rsid w:val="0019583B"/>
    <w:rsid w:val="00196C03"/>
    <w:rsid w:val="001A2F5A"/>
    <w:rsid w:val="001A4ED8"/>
    <w:rsid w:val="001B06AA"/>
    <w:rsid w:val="001B7465"/>
    <w:rsid w:val="001C2FA8"/>
    <w:rsid w:val="001C3B09"/>
    <w:rsid w:val="001C4854"/>
    <w:rsid w:val="001D0BFB"/>
    <w:rsid w:val="001D4E34"/>
    <w:rsid w:val="001D6A4D"/>
    <w:rsid w:val="001E215A"/>
    <w:rsid w:val="001E62B8"/>
    <w:rsid w:val="001E7019"/>
    <w:rsid w:val="001F48F9"/>
    <w:rsid w:val="001F4CD5"/>
    <w:rsid w:val="00201A60"/>
    <w:rsid w:val="00201D60"/>
    <w:rsid w:val="002036C6"/>
    <w:rsid w:val="002045BD"/>
    <w:rsid w:val="00206687"/>
    <w:rsid w:val="00211431"/>
    <w:rsid w:val="00221432"/>
    <w:rsid w:val="00226B59"/>
    <w:rsid w:val="00232A2C"/>
    <w:rsid w:val="00233D72"/>
    <w:rsid w:val="00235B9D"/>
    <w:rsid w:val="00243CBB"/>
    <w:rsid w:val="0025340E"/>
    <w:rsid w:val="00256D5D"/>
    <w:rsid w:val="002572AB"/>
    <w:rsid w:val="00263351"/>
    <w:rsid w:val="002705B2"/>
    <w:rsid w:val="00272AFD"/>
    <w:rsid w:val="00274360"/>
    <w:rsid w:val="002752C1"/>
    <w:rsid w:val="0027591D"/>
    <w:rsid w:val="00276060"/>
    <w:rsid w:val="0027788C"/>
    <w:rsid w:val="00277E1B"/>
    <w:rsid w:val="002818FD"/>
    <w:rsid w:val="00282FFD"/>
    <w:rsid w:val="00283B03"/>
    <w:rsid w:val="00284AAF"/>
    <w:rsid w:val="00286D00"/>
    <w:rsid w:val="002908C0"/>
    <w:rsid w:val="00291A65"/>
    <w:rsid w:val="00291EBB"/>
    <w:rsid w:val="00295DEA"/>
    <w:rsid w:val="002A2157"/>
    <w:rsid w:val="002A4F0F"/>
    <w:rsid w:val="002B1200"/>
    <w:rsid w:val="002B621B"/>
    <w:rsid w:val="002C1CC9"/>
    <w:rsid w:val="002C5017"/>
    <w:rsid w:val="002C530C"/>
    <w:rsid w:val="002D0DFA"/>
    <w:rsid w:val="002D1526"/>
    <w:rsid w:val="002D1B07"/>
    <w:rsid w:val="002D295E"/>
    <w:rsid w:val="002D7484"/>
    <w:rsid w:val="002E2E60"/>
    <w:rsid w:val="002E6433"/>
    <w:rsid w:val="002F5C39"/>
    <w:rsid w:val="002F74DB"/>
    <w:rsid w:val="003006AF"/>
    <w:rsid w:val="00300A1D"/>
    <w:rsid w:val="00301478"/>
    <w:rsid w:val="00301A71"/>
    <w:rsid w:val="003036E2"/>
    <w:rsid w:val="00303B28"/>
    <w:rsid w:val="003077C6"/>
    <w:rsid w:val="003116DA"/>
    <w:rsid w:val="003136A4"/>
    <w:rsid w:val="00313981"/>
    <w:rsid w:val="00315143"/>
    <w:rsid w:val="0031666E"/>
    <w:rsid w:val="00320881"/>
    <w:rsid w:val="00322A04"/>
    <w:rsid w:val="00325646"/>
    <w:rsid w:val="003272AE"/>
    <w:rsid w:val="00337925"/>
    <w:rsid w:val="00344FD6"/>
    <w:rsid w:val="003533B1"/>
    <w:rsid w:val="00353893"/>
    <w:rsid w:val="003543CC"/>
    <w:rsid w:val="0035477A"/>
    <w:rsid w:val="00355867"/>
    <w:rsid w:val="003571DF"/>
    <w:rsid w:val="00362208"/>
    <w:rsid w:val="00365D26"/>
    <w:rsid w:val="003713D4"/>
    <w:rsid w:val="00374FFB"/>
    <w:rsid w:val="00377DAF"/>
    <w:rsid w:val="0038243D"/>
    <w:rsid w:val="003865BD"/>
    <w:rsid w:val="00392141"/>
    <w:rsid w:val="00393163"/>
    <w:rsid w:val="003949C7"/>
    <w:rsid w:val="00394A83"/>
    <w:rsid w:val="00395890"/>
    <w:rsid w:val="003A1C23"/>
    <w:rsid w:val="003A28A2"/>
    <w:rsid w:val="003A2AC2"/>
    <w:rsid w:val="003A5494"/>
    <w:rsid w:val="003A5628"/>
    <w:rsid w:val="003A564C"/>
    <w:rsid w:val="003B1586"/>
    <w:rsid w:val="003B209D"/>
    <w:rsid w:val="003B505E"/>
    <w:rsid w:val="003B6058"/>
    <w:rsid w:val="003B6CC1"/>
    <w:rsid w:val="003B7885"/>
    <w:rsid w:val="003C0A61"/>
    <w:rsid w:val="003C13EC"/>
    <w:rsid w:val="003C1E58"/>
    <w:rsid w:val="003C4A24"/>
    <w:rsid w:val="003D08EC"/>
    <w:rsid w:val="003D244B"/>
    <w:rsid w:val="003D5711"/>
    <w:rsid w:val="003D61CF"/>
    <w:rsid w:val="003D71D9"/>
    <w:rsid w:val="003D73B7"/>
    <w:rsid w:val="003E04EE"/>
    <w:rsid w:val="003F2BF8"/>
    <w:rsid w:val="003F5591"/>
    <w:rsid w:val="003F6938"/>
    <w:rsid w:val="004006E7"/>
    <w:rsid w:val="00402375"/>
    <w:rsid w:val="00406652"/>
    <w:rsid w:val="00407328"/>
    <w:rsid w:val="00416186"/>
    <w:rsid w:val="0041627F"/>
    <w:rsid w:val="004210C6"/>
    <w:rsid w:val="00422248"/>
    <w:rsid w:val="004230B6"/>
    <w:rsid w:val="00427832"/>
    <w:rsid w:val="00433915"/>
    <w:rsid w:val="00434A58"/>
    <w:rsid w:val="004357CA"/>
    <w:rsid w:val="004370CF"/>
    <w:rsid w:val="004409D3"/>
    <w:rsid w:val="00441E03"/>
    <w:rsid w:val="00444E91"/>
    <w:rsid w:val="00445659"/>
    <w:rsid w:val="0046742E"/>
    <w:rsid w:val="004676BD"/>
    <w:rsid w:val="00470822"/>
    <w:rsid w:val="004736E8"/>
    <w:rsid w:val="00474011"/>
    <w:rsid w:val="004768C8"/>
    <w:rsid w:val="00476C93"/>
    <w:rsid w:val="0047797A"/>
    <w:rsid w:val="00480664"/>
    <w:rsid w:val="004836DB"/>
    <w:rsid w:val="004853CE"/>
    <w:rsid w:val="00487EE6"/>
    <w:rsid w:val="00491BD0"/>
    <w:rsid w:val="00491EC2"/>
    <w:rsid w:val="004949BE"/>
    <w:rsid w:val="00495EED"/>
    <w:rsid w:val="004A0AE0"/>
    <w:rsid w:val="004A2428"/>
    <w:rsid w:val="004A5D25"/>
    <w:rsid w:val="004A62BC"/>
    <w:rsid w:val="004A79A1"/>
    <w:rsid w:val="004B723F"/>
    <w:rsid w:val="004C1D0F"/>
    <w:rsid w:val="004C52B7"/>
    <w:rsid w:val="004C6B7E"/>
    <w:rsid w:val="004D7975"/>
    <w:rsid w:val="004E011E"/>
    <w:rsid w:val="004E1683"/>
    <w:rsid w:val="004E4214"/>
    <w:rsid w:val="004E68FE"/>
    <w:rsid w:val="004E7834"/>
    <w:rsid w:val="004F1090"/>
    <w:rsid w:val="004F239A"/>
    <w:rsid w:val="004F23E9"/>
    <w:rsid w:val="004F2CCE"/>
    <w:rsid w:val="004F52B6"/>
    <w:rsid w:val="004F77D8"/>
    <w:rsid w:val="004F7D49"/>
    <w:rsid w:val="00501A90"/>
    <w:rsid w:val="00501F40"/>
    <w:rsid w:val="0051005F"/>
    <w:rsid w:val="00511580"/>
    <w:rsid w:val="005125DC"/>
    <w:rsid w:val="00521230"/>
    <w:rsid w:val="00521B4B"/>
    <w:rsid w:val="00521FE0"/>
    <w:rsid w:val="00523371"/>
    <w:rsid w:val="00523AF5"/>
    <w:rsid w:val="00524827"/>
    <w:rsid w:val="00525F5F"/>
    <w:rsid w:val="00526B4F"/>
    <w:rsid w:val="00532438"/>
    <w:rsid w:val="00535292"/>
    <w:rsid w:val="00535565"/>
    <w:rsid w:val="00535828"/>
    <w:rsid w:val="00537167"/>
    <w:rsid w:val="005377C2"/>
    <w:rsid w:val="00544456"/>
    <w:rsid w:val="00547AE0"/>
    <w:rsid w:val="005523C2"/>
    <w:rsid w:val="00555F4D"/>
    <w:rsid w:val="005566E9"/>
    <w:rsid w:val="00561663"/>
    <w:rsid w:val="005620BC"/>
    <w:rsid w:val="00562198"/>
    <w:rsid w:val="00562BB6"/>
    <w:rsid w:val="00563285"/>
    <w:rsid w:val="005646CD"/>
    <w:rsid w:val="00565196"/>
    <w:rsid w:val="0056668A"/>
    <w:rsid w:val="00572192"/>
    <w:rsid w:val="005728AB"/>
    <w:rsid w:val="005741BD"/>
    <w:rsid w:val="00577B61"/>
    <w:rsid w:val="00580648"/>
    <w:rsid w:val="005828B7"/>
    <w:rsid w:val="005841A4"/>
    <w:rsid w:val="0058625B"/>
    <w:rsid w:val="0059342B"/>
    <w:rsid w:val="00594FCB"/>
    <w:rsid w:val="005956E1"/>
    <w:rsid w:val="0059751F"/>
    <w:rsid w:val="005A08C0"/>
    <w:rsid w:val="005A2C01"/>
    <w:rsid w:val="005A34D2"/>
    <w:rsid w:val="005A5F15"/>
    <w:rsid w:val="005B7603"/>
    <w:rsid w:val="005C0EF6"/>
    <w:rsid w:val="005C12B7"/>
    <w:rsid w:val="005C1782"/>
    <w:rsid w:val="005C17E6"/>
    <w:rsid w:val="005C28B8"/>
    <w:rsid w:val="005C4037"/>
    <w:rsid w:val="005C468E"/>
    <w:rsid w:val="005C582E"/>
    <w:rsid w:val="005C6999"/>
    <w:rsid w:val="005D3673"/>
    <w:rsid w:val="005D42BC"/>
    <w:rsid w:val="005D4F82"/>
    <w:rsid w:val="005E0AD7"/>
    <w:rsid w:val="005E2CF8"/>
    <w:rsid w:val="005E4AE2"/>
    <w:rsid w:val="005E74A5"/>
    <w:rsid w:val="005F00D0"/>
    <w:rsid w:val="005F0C0A"/>
    <w:rsid w:val="005F22C3"/>
    <w:rsid w:val="00601301"/>
    <w:rsid w:val="006077FD"/>
    <w:rsid w:val="00610830"/>
    <w:rsid w:val="00612921"/>
    <w:rsid w:val="00614326"/>
    <w:rsid w:val="00614CE7"/>
    <w:rsid w:val="0061630B"/>
    <w:rsid w:val="00616C7C"/>
    <w:rsid w:val="00620B9D"/>
    <w:rsid w:val="00622DD4"/>
    <w:rsid w:val="006230C3"/>
    <w:rsid w:val="00623A80"/>
    <w:rsid w:val="006244E3"/>
    <w:rsid w:val="006255B8"/>
    <w:rsid w:val="006266E4"/>
    <w:rsid w:val="006271BD"/>
    <w:rsid w:val="00630A7E"/>
    <w:rsid w:val="00630FA7"/>
    <w:rsid w:val="006318C6"/>
    <w:rsid w:val="00637724"/>
    <w:rsid w:val="00641105"/>
    <w:rsid w:val="00642FDF"/>
    <w:rsid w:val="00643112"/>
    <w:rsid w:val="00643F50"/>
    <w:rsid w:val="00644396"/>
    <w:rsid w:val="006468D6"/>
    <w:rsid w:val="0065029C"/>
    <w:rsid w:val="006549FA"/>
    <w:rsid w:val="00654AE0"/>
    <w:rsid w:val="0065748D"/>
    <w:rsid w:val="00663AB9"/>
    <w:rsid w:val="00664BA4"/>
    <w:rsid w:val="00664F54"/>
    <w:rsid w:val="006679B3"/>
    <w:rsid w:val="00667A11"/>
    <w:rsid w:val="00670780"/>
    <w:rsid w:val="006759A9"/>
    <w:rsid w:val="00675B12"/>
    <w:rsid w:val="00680D32"/>
    <w:rsid w:val="00683833"/>
    <w:rsid w:val="00693EB1"/>
    <w:rsid w:val="0069729D"/>
    <w:rsid w:val="00697C68"/>
    <w:rsid w:val="006A48DE"/>
    <w:rsid w:val="006A5D7E"/>
    <w:rsid w:val="006B0EFB"/>
    <w:rsid w:val="006B5DE8"/>
    <w:rsid w:val="006B67E1"/>
    <w:rsid w:val="006C0A2F"/>
    <w:rsid w:val="006C1F5F"/>
    <w:rsid w:val="006C2A50"/>
    <w:rsid w:val="006C75B6"/>
    <w:rsid w:val="006D0B1F"/>
    <w:rsid w:val="006D1772"/>
    <w:rsid w:val="006D4B8F"/>
    <w:rsid w:val="006D57C8"/>
    <w:rsid w:val="006D6BA3"/>
    <w:rsid w:val="006E2493"/>
    <w:rsid w:val="006E2C97"/>
    <w:rsid w:val="006E344B"/>
    <w:rsid w:val="006E391A"/>
    <w:rsid w:val="006E398E"/>
    <w:rsid w:val="006E54D3"/>
    <w:rsid w:val="006E62D9"/>
    <w:rsid w:val="006F1345"/>
    <w:rsid w:val="006F4EC0"/>
    <w:rsid w:val="006F5C6B"/>
    <w:rsid w:val="006F6F76"/>
    <w:rsid w:val="00700BFF"/>
    <w:rsid w:val="007014B0"/>
    <w:rsid w:val="00701B36"/>
    <w:rsid w:val="00702B06"/>
    <w:rsid w:val="00704125"/>
    <w:rsid w:val="00706932"/>
    <w:rsid w:val="00707038"/>
    <w:rsid w:val="0071241D"/>
    <w:rsid w:val="0072059A"/>
    <w:rsid w:val="00720CDA"/>
    <w:rsid w:val="00721427"/>
    <w:rsid w:val="00730824"/>
    <w:rsid w:val="007314E0"/>
    <w:rsid w:val="00731D6D"/>
    <w:rsid w:val="00732042"/>
    <w:rsid w:val="00733002"/>
    <w:rsid w:val="0073473B"/>
    <w:rsid w:val="0073552C"/>
    <w:rsid w:val="00735C6F"/>
    <w:rsid w:val="00737288"/>
    <w:rsid w:val="00737A19"/>
    <w:rsid w:val="00740DCE"/>
    <w:rsid w:val="00741D02"/>
    <w:rsid w:val="00742295"/>
    <w:rsid w:val="00743940"/>
    <w:rsid w:val="00747FD6"/>
    <w:rsid w:val="00757BA4"/>
    <w:rsid w:val="007600AF"/>
    <w:rsid w:val="00766855"/>
    <w:rsid w:val="0076791C"/>
    <w:rsid w:val="00777481"/>
    <w:rsid w:val="007779E5"/>
    <w:rsid w:val="007904CA"/>
    <w:rsid w:val="00790888"/>
    <w:rsid w:val="0079469E"/>
    <w:rsid w:val="00794A20"/>
    <w:rsid w:val="00797C25"/>
    <w:rsid w:val="007A3FA6"/>
    <w:rsid w:val="007A679E"/>
    <w:rsid w:val="007B244E"/>
    <w:rsid w:val="007B2759"/>
    <w:rsid w:val="007B28EE"/>
    <w:rsid w:val="007B2FA6"/>
    <w:rsid w:val="007B310E"/>
    <w:rsid w:val="007B3F14"/>
    <w:rsid w:val="007B72B7"/>
    <w:rsid w:val="007C0D84"/>
    <w:rsid w:val="007C535A"/>
    <w:rsid w:val="007D1B59"/>
    <w:rsid w:val="007D1E57"/>
    <w:rsid w:val="007D6534"/>
    <w:rsid w:val="007D75C6"/>
    <w:rsid w:val="007E12CA"/>
    <w:rsid w:val="007E1520"/>
    <w:rsid w:val="007E2186"/>
    <w:rsid w:val="007E315B"/>
    <w:rsid w:val="007E53C0"/>
    <w:rsid w:val="007F0F28"/>
    <w:rsid w:val="007F1973"/>
    <w:rsid w:val="007F6B7E"/>
    <w:rsid w:val="00800265"/>
    <w:rsid w:val="00804014"/>
    <w:rsid w:val="00805142"/>
    <w:rsid w:val="008067C0"/>
    <w:rsid w:val="008069D2"/>
    <w:rsid w:val="00807210"/>
    <w:rsid w:val="0081160C"/>
    <w:rsid w:val="008130B8"/>
    <w:rsid w:val="00817445"/>
    <w:rsid w:val="00817C12"/>
    <w:rsid w:val="00817D3A"/>
    <w:rsid w:val="00820407"/>
    <w:rsid w:val="008255C9"/>
    <w:rsid w:val="00830981"/>
    <w:rsid w:val="00830F54"/>
    <w:rsid w:val="00831E0F"/>
    <w:rsid w:val="00832013"/>
    <w:rsid w:val="00833094"/>
    <w:rsid w:val="00833A0F"/>
    <w:rsid w:val="0083510D"/>
    <w:rsid w:val="008357C0"/>
    <w:rsid w:val="0083623D"/>
    <w:rsid w:val="008414F1"/>
    <w:rsid w:val="00843B5E"/>
    <w:rsid w:val="00844416"/>
    <w:rsid w:val="00845435"/>
    <w:rsid w:val="00846B5B"/>
    <w:rsid w:val="008506C4"/>
    <w:rsid w:val="008513DA"/>
    <w:rsid w:val="00852086"/>
    <w:rsid w:val="00854094"/>
    <w:rsid w:val="00856486"/>
    <w:rsid w:val="00861848"/>
    <w:rsid w:val="00862BFC"/>
    <w:rsid w:val="00862FD2"/>
    <w:rsid w:val="00863FC4"/>
    <w:rsid w:val="00870FDF"/>
    <w:rsid w:val="00873EB0"/>
    <w:rsid w:val="008744E0"/>
    <w:rsid w:val="0087599A"/>
    <w:rsid w:val="008830FB"/>
    <w:rsid w:val="00886EDF"/>
    <w:rsid w:val="00887392"/>
    <w:rsid w:val="00890122"/>
    <w:rsid w:val="0089017D"/>
    <w:rsid w:val="008915DC"/>
    <w:rsid w:val="008956F9"/>
    <w:rsid w:val="008A29F8"/>
    <w:rsid w:val="008A32E5"/>
    <w:rsid w:val="008A37E1"/>
    <w:rsid w:val="008A5E10"/>
    <w:rsid w:val="008A6166"/>
    <w:rsid w:val="008A6E57"/>
    <w:rsid w:val="008B11F8"/>
    <w:rsid w:val="008B35A5"/>
    <w:rsid w:val="008B3E4F"/>
    <w:rsid w:val="008B4189"/>
    <w:rsid w:val="008B455F"/>
    <w:rsid w:val="008B488B"/>
    <w:rsid w:val="008B5B6A"/>
    <w:rsid w:val="008B72ED"/>
    <w:rsid w:val="008C29CC"/>
    <w:rsid w:val="008C39BA"/>
    <w:rsid w:val="008C6A1C"/>
    <w:rsid w:val="008C7953"/>
    <w:rsid w:val="008D1895"/>
    <w:rsid w:val="008D4C32"/>
    <w:rsid w:val="008D56A9"/>
    <w:rsid w:val="008D74F7"/>
    <w:rsid w:val="008E1667"/>
    <w:rsid w:val="008E244B"/>
    <w:rsid w:val="008E31A7"/>
    <w:rsid w:val="008E3FE5"/>
    <w:rsid w:val="008E5B08"/>
    <w:rsid w:val="008F04B2"/>
    <w:rsid w:val="008F191B"/>
    <w:rsid w:val="008F490B"/>
    <w:rsid w:val="008F5A51"/>
    <w:rsid w:val="008F6785"/>
    <w:rsid w:val="008F7859"/>
    <w:rsid w:val="0090002E"/>
    <w:rsid w:val="00900C5C"/>
    <w:rsid w:val="00900FC0"/>
    <w:rsid w:val="009024C6"/>
    <w:rsid w:val="00904104"/>
    <w:rsid w:val="0091284A"/>
    <w:rsid w:val="00914AC9"/>
    <w:rsid w:val="00914D4B"/>
    <w:rsid w:val="00917122"/>
    <w:rsid w:val="00920980"/>
    <w:rsid w:val="0092103D"/>
    <w:rsid w:val="00922340"/>
    <w:rsid w:val="0092277A"/>
    <w:rsid w:val="00922AE0"/>
    <w:rsid w:val="00925118"/>
    <w:rsid w:val="00926B5D"/>
    <w:rsid w:val="00931D51"/>
    <w:rsid w:val="00936642"/>
    <w:rsid w:val="00937021"/>
    <w:rsid w:val="0093710E"/>
    <w:rsid w:val="0093794F"/>
    <w:rsid w:val="009405A3"/>
    <w:rsid w:val="00941C7E"/>
    <w:rsid w:val="009454BB"/>
    <w:rsid w:val="00946480"/>
    <w:rsid w:val="009520B4"/>
    <w:rsid w:val="00952E66"/>
    <w:rsid w:val="009557EC"/>
    <w:rsid w:val="0095640D"/>
    <w:rsid w:val="009571EB"/>
    <w:rsid w:val="009574C5"/>
    <w:rsid w:val="00965690"/>
    <w:rsid w:val="0096578E"/>
    <w:rsid w:val="009710CD"/>
    <w:rsid w:val="00974021"/>
    <w:rsid w:val="009741FC"/>
    <w:rsid w:val="00974967"/>
    <w:rsid w:val="00982270"/>
    <w:rsid w:val="009831EF"/>
    <w:rsid w:val="00985792"/>
    <w:rsid w:val="00985D2E"/>
    <w:rsid w:val="0099123C"/>
    <w:rsid w:val="0099219C"/>
    <w:rsid w:val="009A1C67"/>
    <w:rsid w:val="009A2951"/>
    <w:rsid w:val="009A3B12"/>
    <w:rsid w:val="009B7DE2"/>
    <w:rsid w:val="009C12A1"/>
    <w:rsid w:val="009C7E0B"/>
    <w:rsid w:val="009D2E07"/>
    <w:rsid w:val="009D5274"/>
    <w:rsid w:val="009D7F17"/>
    <w:rsid w:val="009E02EC"/>
    <w:rsid w:val="009E05AD"/>
    <w:rsid w:val="009E1F26"/>
    <w:rsid w:val="009E316F"/>
    <w:rsid w:val="009E3A82"/>
    <w:rsid w:val="009E43F9"/>
    <w:rsid w:val="009F14B9"/>
    <w:rsid w:val="009F2631"/>
    <w:rsid w:val="009F2D27"/>
    <w:rsid w:val="009F670D"/>
    <w:rsid w:val="009F6F82"/>
    <w:rsid w:val="00A01A77"/>
    <w:rsid w:val="00A05165"/>
    <w:rsid w:val="00A05D89"/>
    <w:rsid w:val="00A07148"/>
    <w:rsid w:val="00A07E69"/>
    <w:rsid w:val="00A100D2"/>
    <w:rsid w:val="00A1054D"/>
    <w:rsid w:val="00A10802"/>
    <w:rsid w:val="00A11186"/>
    <w:rsid w:val="00A11ACD"/>
    <w:rsid w:val="00A13BB1"/>
    <w:rsid w:val="00A21C87"/>
    <w:rsid w:val="00A275AC"/>
    <w:rsid w:val="00A278AC"/>
    <w:rsid w:val="00A27ED5"/>
    <w:rsid w:val="00A3007D"/>
    <w:rsid w:val="00A33364"/>
    <w:rsid w:val="00A355A4"/>
    <w:rsid w:val="00A35CAF"/>
    <w:rsid w:val="00A35ECB"/>
    <w:rsid w:val="00A376FC"/>
    <w:rsid w:val="00A4566D"/>
    <w:rsid w:val="00A46EAA"/>
    <w:rsid w:val="00A50F29"/>
    <w:rsid w:val="00A51EDB"/>
    <w:rsid w:val="00A524BB"/>
    <w:rsid w:val="00A54AAF"/>
    <w:rsid w:val="00A55276"/>
    <w:rsid w:val="00A62300"/>
    <w:rsid w:val="00A63C19"/>
    <w:rsid w:val="00A653A6"/>
    <w:rsid w:val="00A66913"/>
    <w:rsid w:val="00A66CEF"/>
    <w:rsid w:val="00A67BFF"/>
    <w:rsid w:val="00A709FF"/>
    <w:rsid w:val="00A715AA"/>
    <w:rsid w:val="00A72533"/>
    <w:rsid w:val="00A767CF"/>
    <w:rsid w:val="00A76896"/>
    <w:rsid w:val="00A76C28"/>
    <w:rsid w:val="00A77802"/>
    <w:rsid w:val="00A77A84"/>
    <w:rsid w:val="00A80C03"/>
    <w:rsid w:val="00A80F90"/>
    <w:rsid w:val="00A829A7"/>
    <w:rsid w:val="00A82BF9"/>
    <w:rsid w:val="00A832B6"/>
    <w:rsid w:val="00A83D74"/>
    <w:rsid w:val="00A87394"/>
    <w:rsid w:val="00A903C1"/>
    <w:rsid w:val="00A94999"/>
    <w:rsid w:val="00A961B4"/>
    <w:rsid w:val="00A9740D"/>
    <w:rsid w:val="00AA6553"/>
    <w:rsid w:val="00AA7919"/>
    <w:rsid w:val="00AB1879"/>
    <w:rsid w:val="00AC2DDA"/>
    <w:rsid w:val="00AC4D48"/>
    <w:rsid w:val="00AC7181"/>
    <w:rsid w:val="00AD5116"/>
    <w:rsid w:val="00AD668D"/>
    <w:rsid w:val="00AD6FDC"/>
    <w:rsid w:val="00AE196B"/>
    <w:rsid w:val="00AE2CBC"/>
    <w:rsid w:val="00AE5FF9"/>
    <w:rsid w:val="00AE6717"/>
    <w:rsid w:val="00AF30D8"/>
    <w:rsid w:val="00AF32D1"/>
    <w:rsid w:val="00AF45B5"/>
    <w:rsid w:val="00B02964"/>
    <w:rsid w:val="00B069C9"/>
    <w:rsid w:val="00B07C30"/>
    <w:rsid w:val="00B10588"/>
    <w:rsid w:val="00B11926"/>
    <w:rsid w:val="00B160CC"/>
    <w:rsid w:val="00B24892"/>
    <w:rsid w:val="00B30656"/>
    <w:rsid w:val="00B3161B"/>
    <w:rsid w:val="00B3199B"/>
    <w:rsid w:val="00B32A9D"/>
    <w:rsid w:val="00B32AEB"/>
    <w:rsid w:val="00B32ED2"/>
    <w:rsid w:val="00B33AC1"/>
    <w:rsid w:val="00B3401E"/>
    <w:rsid w:val="00B34A6B"/>
    <w:rsid w:val="00B34A80"/>
    <w:rsid w:val="00B35D0C"/>
    <w:rsid w:val="00B36CA3"/>
    <w:rsid w:val="00B41B44"/>
    <w:rsid w:val="00B43D4E"/>
    <w:rsid w:val="00B44B45"/>
    <w:rsid w:val="00B50F8B"/>
    <w:rsid w:val="00B55AFA"/>
    <w:rsid w:val="00B567BE"/>
    <w:rsid w:val="00B6216F"/>
    <w:rsid w:val="00B62219"/>
    <w:rsid w:val="00B623CC"/>
    <w:rsid w:val="00B62CFE"/>
    <w:rsid w:val="00B62EE0"/>
    <w:rsid w:val="00B63B6A"/>
    <w:rsid w:val="00B67052"/>
    <w:rsid w:val="00B67A3C"/>
    <w:rsid w:val="00B73E22"/>
    <w:rsid w:val="00B77453"/>
    <w:rsid w:val="00B83349"/>
    <w:rsid w:val="00B85DF7"/>
    <w:rsid w:val="00B86BE0"/>
    <w:rsid w:val="00B9049B"/>
    <w:rsid w:val="00B93326"/>
    <w:rsid w:val="00B93FDA"/>
    <w:rsid w:val="00B94E3E"/>
    <w:rsid w:val="00B96FC2"/>
    <w:rsid w:val="00B97207"/>
    <w:rsid w:val="00BB57AB"/>
    <w:rsid w:val="00BB71DC"/>
    <w:rsid w:val="00BC0579"/>
    <w:rsid w:val="00BC0890"/>
    <w:rsid w:val="00BC0B44"/>
    <w:rsid w:val="00BD3F20"/>
    <w:rsid w:val="00BD643B"/>
    <w:rsid w:val="00BD6E6F"/>
    <w:rsid w:val="00BD6E98"/>
    <w:rsid w:val="00BD72BF"/>
    <w:rsid w:val="00BE4B04"/>
    <w:rsid w:val="00BE5CDC"/>
    <w:rsid w:val="00BE714E"/>
    <w:rsid w:val="00BF154C"/>
    <w:rsid w:val="00BF73E3"/>
    <w:rsid w:val="00C023D0"/>
    <w:rsid w:val="00C039FD"/>
    <w:rsid w:val="00C07E68"/>
    <w:rsid w:val="00C10A08"/>
    <w:rsid w:val="00C10E5A"/>
    <w:rsid w:val="00C13ED8"/>
    <w:rsid w:val="00C16186"/>
    <w:rsid w:val="00C231F3"/>
    <w:rsid w:val="00C23D41"/>
    <w:rsid w:val="00C27E50"/>
    <w:rsid w:val="00C31B1A"/>
    <w:rsid w:val="00C32E03"/>
    <w:rsid w:val="00C32F09"/>
    <w:rsid w:val="00C35B48"/>
    <w:rsid w:val="00C36F91"/>
    <w:rsid w:val="00C40BA7"/>
    <w:rsid w:val="00C4129A"/>
    <w:rsid w:val="00C4515C"/>
    <w:rsid w:val="00C46559"/>
    <w:rsid w:val="00C46B5A"/>
    <w:rsid w:val="00C47803"/>
    <w:rsid w:val="00C54103"/>
    <w:rsid w:val="00C54425"/>
    <w:rsid w:val="00C564B1"/>
    <w:rsid w:val="00C60546"/>
    <w:rsid w:val="00C60839"/>
    <w:rsid w:val="00C60BD7"/>
    <w:rsid w:val="00C61754"/>
    <w:rsid w:val="00C74901"/>
    <w:rsid w:val="00C76A8A"/>
    <w:rsid w:val="00C804BA"/>
    <w:rsid w:val="00C812F5"/>
    <w:rsid w:val="00C84953"/>
    <w:rsid w:val="00C92217"/>
    <w:rsid w:val="00C92925"/>
    <w:rsid w:val="00CA3A2E"/>
    <w:rsid w:val="00CA3EA7"/>
    <w:rsid w:val="00CA64AC"/>
    <w:rsid w:val="00CB0564"/>
    <w:rsid w:val="00CB1EA4"/>
    <w:rsid w:val="00CB75C3"/>
    <w:rsid w:val="00CC3013"/>
    <w:rsid w:val="00CC4D67"/>
    <w:rsid w:val="00CD2CC3"/>
    <w:rsid w:val="00CD69E9"/>
    <w:rsid w:val="00CE2002"/>
    <w:rsid w:val="00CE4B86"/>
    <w:rsid w:val="00CF1961"/>
    <w:rsid w:val="00CF1B5D"/>
    <w:rsid w:val="00CF2F7B"/>
    <w:rsid w:val="00CF2FE6"/>
    <w:rsid w:val="00CF4F63"/>
    <w:rsid w:val="00D00A60"/>
    <w:rsid w:val="00D027AA"/>
    <w:rsid w:val="00D07C20"/>
    <w:rsid w:val="00D13940"/>
    <w:rsid w:val="00D1420B"/>
    <w:rsid w:val="00D14F84"/>
    <w:rsid w:val="00D207C9"/>
    <w:rsid w:val="00D230B8"/>
    <w:rsid w:val="00D2339E"/>
    <w:rsid w:val="00D2447F"/>
    <w:rsid w:val="00D27F65"/>
    <w:rsid w:val="00D32CDA"/>
    <w:rsid w:val="00D338C2"/>
    <w:rsid w:val="00D3403F"/>
    <w:rsid w:val="00D46670"/>
    <w:rsid w:val="00D4715B"/>
    <w:rsid w:val="00D477E4"/>
    <w:rsid w:val="00D629B1"/>
    <w:rsid w:val="00D67DCD"/>
    <w:rsid w:val="00D7215D"/>
    <w:rsid w:val="00D72B0D"/>
    <w:rsid w:val="00D80647"/>
    <w:rsid w:val="00D83E36"/>
    <w:rsid w:val="00D85289"/>
    <w:rsid w:val="00D856A7"/>
    <w:rsid w:val="00D86571"/>
    <w:rsid w:val="00D87BB7"/>
    <w:rsid w:val="00D91CF6"/>
    <w:rsid w:val="00D93B8D"/>
    <w:rsid w:val="00D97509"/>
    <w:rsid w:val="00D97C13"/>
    <w:rsid w:val="00D97E66"/>
    <w:rsid w:val="00DA0B0B"/>
    <w:rsid w:val="00DA133D"/>
    <w:rsid w:val="00DA22BA"/>
    <w:rsid w:val="00DA318A"/>
    <w:rsid w:val="00DA35AB"/>
    <w:rsid w:val="00DA4AC6"/>
    <w:rsid w:val="00DA74FA"/>
    <w:rsid w:val="00DB0140"/>
    <w:rsid w:val="00DB0573"/>
    <w:rsid w:val="00DB1266"/>
    <w:rsid w:val="00DB2CE5"/>
    <w:rsid w:val="00DB34F0"/>
    <w:rsid w:val="00DB3835"/>
    <w:rsid w:val="00DB5AF1"/>
    <w:rsid w:val="00DB6789"/>
    <w:rsid w:val="00DC06BF"/>
    <w:rsid w:val="00DC1D76"/>
    <w:rsid w:val="00DC3AB3"/>
    <w:rsid w:val="00DC4EC7"/>
    <w:rsid w:val="00DC70DE"/>
    <w:rsid w:val="00DD0025"/>
    <w:rsid w:val="00DD0A27"/>
    <w:rsid w:val="00DD189E"/>
    <w:rsid w:val="00DD2ED9"/>
    <w:rsid w:val="00DD3EF3"/>
    <w:rsid w:val="00DE17BD"/>
    <w:rsid w:val="00DE19D7"/>
    <w:rsid w:val="00DE1CC1"/>
    <w:rsid w:val="00DF2EDB"/>
    <w:rsid w:val="00DF4937"/>
    <w:rsid w:val="00DF62E1"/>
    <w:rsid w:val="00DF6B48"/>
    <w:rsid w:val="00E018EC"/>
    <w:rsid w:val="00E0237E"/>
    <w:rsid w:val="00E03F71"/>
    <w:rsid w:val="00E155B6"/>
    <w:rsid w:val="00E16A80"/>
    <w:rsid w:val="00E16DF4"/>
    <w:rsid w:val="00E17117"/>
    <w:rsid w:val="00E235B9"/>
    <w:rsid w:val="00E250DB"/>
    <w:rsid w:val="00E27582"/>
    <w:rsid w:val="00E30859"/>
    <w:rsid w:val="00E337C7"/>
    <w:rsid w:val="00E36695"/>
    <w:rsid w:val="00E374B5"/>
    <w:rsid w:val="00E3783D"/>
    <w:rsid w:val="00E400E9"/>
    <w:rsid w:val="00E46E40"/>
    <w:rsid w:val="00E51314"/>
    <w:rsid w:val="00E54A66"/>
    <w:rsid w:val="00E55613"/>
    <w:rsid w:val="00E579C5"/>
    <w:rsid w:val="00E57B0A"/>
    <w:rsid w:val="00E61B32"/>
    <w:rsid w:val="00E63087"/>
    <w:rsid w:val="00E63F9C"/>
    <w:rsid w:val="00E653DC"/>
    <w:rsid w:val="00E730A4"/>
    <w:rsid w:val="00E81826"/>
    <w:rsid w:val="00E8565F"/>
    <w:rsid w:val="00E869E6"/>
    <w:rsid w:val="00E86B8E"/>
    <w:rsid w:val="00E901F5"/>
    <w:rsid w:val="00E91CC2"/>
    <w:rsid w:val="00E961C3"/>
    <w:rsid w:val="00EA106E"/>
    <w:rsid w:val="00EA2557"/>
    <w:rsid w:val="00EA2F43"/>
    <w:rsid w:val="00EA4093"/>
    <w:rsid w:val="00EA53D3"/>
    <w:rsid w:val="00EB35DD"/>
    <w:rsid w:val="00EC0D5C"/>
    <w:rsid w:val="00EC135E"/>
    <w:rsid w:val="00EC3DBA"/>
    <w:rsid w:val="00ED076B"/>
    <w:rsid w:val="00ED0EDD"/>
    <w:rsid w:val="00ED3712"/>
    <w:rsid w:val="00ED765E"/>
    <w:rsid w:val="00EE1B3E"/>
    <w:rsid w:val="00EE2246"/>
    <w:rsid w:val="00EE40EB"/>
    <w:rsid w:val="00EE631B"/>
    <w:rsid w:val="00EF332A"/>
    <w:rsid w:val="00EF3B50"/>
    <w:rsid w:val="00EF5A2A"/>
    <w:rsid w:val="00F02415"/>
    <w:rsid w:val="00F027DD"/>
    <w:rsid w:val="00F0283C"/>
    <w:rsid w:val="00F030F8"/>
    <w:rsid w:val="00F03938"/>
    <w:rsid w:val="00F06533"/>
    <w:rsid w:val="00F06A09"/>
    <w:rsid w:val="00F13042"/>
    <w:rsid w:val="00F17420"/>
    <w:rsid w:val="00F17A51"/>
    <w:rsid w:val="00F205B5"/>
    <w:rsid w:val="00F21E75"/>
    <w:rsid w:val="00F229CE"/>
    <w:rsid w:val="00F24F07"/>
    <w:rsid w:val="00F25BD0"/>
    <w:rsid w:val="00F26C51"/>
    <w:rsid w:val="00F31723"/>
    <w:rsid w:val="00F3557E"/>
    <w:rsid w:val="00F355D1"/>
    <w:rsid w:val="00F37E05"/>
    <w:rsid w:val="00F37FBB"/>
    <w:rsid w:val="00F42C7C"/>
    <w:rsid w:val="00F44051"/>
    <w:rsid w:val="00F46E42"/>
    <w:rsid w:val="00F50C8F"/>
    <w:rsid w:val="00F5309B"/>
    <w:rsid w:val="00F57038"/>
    <w:rsid w:val="00F60844"/>
    <w:rsid w:val="00F60C1F"/>
    <w:rsid w:val="00F610B3"/>
    <w:rsid w:val="00F62899"/>
    <w:rsid w:val="00F62A91"/>
    <w:rsid w:val="00F63021"/>
    <w:rsid w:val="00F64110"/>
    <w:rsid w:val="00F65C19"/>
    <w:rsid w:val="00F677D3"/>
    <w:rsid w:val="00F71E6B"/>
    <w:rsid w:val="00F71F4E"/>
    <w:rsid w:val="00F73845"/>
    <w:rsid w:val="00F742C1"/>
    <w:rsid w:val="00F7458D"/>
    <w:rsid w:val="00F75F56"/>
    <w:rsid w:val="00F7639B"/>
    <w:rsid w:val="00F76CFA"/>
    <w:rsid w:val="00F8126A"/>
    <w:rsid w:val="00F83B37"/>
    <w:rsid w:val="00F85A62"/>
    <w:rsid w:val="00F8770B"/>
    <w:rsid w:val="00F87E95"/>
    <w:rsid w:val="00F94671"/>
    <w:rsid w:val="00F971BB"/>
    <w:rsid w:val="00F9774A"/>
    <w:rsid w:val="00FA0BFD"/>
    <w:rsid w:val="00FA1C18"/>
    <w:rsid w:val="00FA22C5"/>
    <w:rsid w:val="00FA2DC4"/>
    <w:rsid w:val="00FA38AE"/>
    <w:rsid w:val="00FA70E8"/>
    <w:rsid w:val="00FB3524"/>
    <w:rsid w:val="00FC1DD1"/>
    <w:rsid w:val="00FC2A47"/>
    <w:rsid w:val="00FC3D66"/>
    <w:rsid w:val="00FC419B"/>
    <w:rsid w:val="00FC4475"/>
    <w:rsid w:val="00FC5ED4"/>
    <w:rsid w:val="00FC716B"/>
    <w:rsid w:val="00FD4BF5"/>
    <w:rsid w:val="00FE1A7A"/>
    <w:rsid w:val="00FE1F7D"/>
    <w:rsid w:val="00FE28CF"/>
    <w:rsid w:val="00FE34FE"/>
    <w:rsid w:val="00FE6CBC"/>
    <w:rsid w:val="00FE71C8"/>
    <w:rsid w:val="00FF72FB"/>
    <w:rsid w:val="17EED975"/>
    <w:rsid w:val="1D6D667B"/>
    <w:rsid w:val="1FEDD269"/>
    <w:rsid w:val="1FFF26EB"/>
    <w:rsid w:val="2FEAFBA2"/>
    <w:rsid w:val="3BF65340"/>
    <w:rsid w:val="3CD1778F"/>
    <w:rsid w:val="3DE82340"/>
    <w:rsid w:val="3F6BF771"/>
    <w:rsid w:val="3FB181CF"/>
    <w:rsid w:val="49B30EC7"/>
    <w:rsid w:val="4F6C798B"/>
    <w:rsid w:val="5FB6B3D6"/>
    <w:rsid w:val="5FFE32C7"/>
    <w:rsid w:val="637792AF"/>
    <w:rsid w:val="677691EB"/>
    <w:rsid w:val="68D979E8"/>
    <w:rsid w:val="6FEB3DF4"/>
    <w:rsid w:val="726C0BD2"/>
    <w:rsid w:val="735B3C4F"/>
    <w:rsid w:val="7576DB0E"/>
    <w:rsid w:val="75FB1AE3"/>
    <w:rsid w:val="75FB4CC8"/>
    <w:rsid w:val="77FF3EF9"/>
    <w:rsid w:val="7DB9FC82"/>
    <w:rsid w:val="7EDE52BF"/>
    <w:rsid w:val="7FDD232D"/>
    <w:rsid w:val="7FFF7117"/>
    <w:rsid w:val="9D59BB71"/>
    <w:rsid w:val="A3BD161F"/>
    <w:rsid w:val="A6CD1B17"/>
    <w:rsid w:val="BBF1854B"/>
    <w:rsid w:val="BD67CB8D"/>
    <w:rsid w:val="BFFE552C"/>
    <w:rsid w:val="CFE74EB7"/>
    <w:rsid w:val="D3EF1F20"/>
    <w:rsid w:val="D8FB8BB2"/>
    <w:rsid w:val="DDFC83E9"/>
    <w:rsid w:val="DEAE3A83"/>
    <w:rsid w:val="DFDF2929"/>
    <w:rsid w:val="E2CFD8BF"/>
    <w:rsid w:val="E77538F7"/>
    <w:rsid w:val="F3F62475"/>
    <w:rsid w:val="F4FD2F68"/>
    <w:rsid w:val="F5DDB8A6"/>
    <w:rsid w:val="F7B73D40"/>
    <w:rsid w:val="F7BF06E9"/>
    <w:rsid w:val="FD4310CE"/>
    <w:rsid w:val="FD7F4B0E"/>
    <w:rsid w:val="FD9D4C75"/>
    <w:rsid w:val="FDDFABD4"/>
    <w:rsid w:val="FDF519A4"/>
    <w:rsid w:val="FDF741F8"/>
    <w:rsid w:val="FF9FCE35"/>
    <w:rsid w:val="FFCC98C9"/>
    <w:rsid w:val="FFD7A6A8"/>
    <w:rsid w:val="FFE3F718"/>
    <w:rsid w:val="FFF96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style>
  <w:style w:type="paragraph" w:styleId="3">
    <w:name w:val="Salutation"/>
    <w:basedOn w:val="1"/>
    <w:next w:val="1"/>
    <w:link w:val="8"/>
    <w:unhideWhenUsed/>
    <w:qFormat/>
    <w:uiPriority w:val="99"/>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称呼 字符"/>
    <w:basedOn w:val="7"/>
    <w:link w:val="3"/>
    <w:qFormat/>
    <w:uiPriority w:val="99"/>
    <w:rPr>
      <w:rFonts w:ascii="Times New Roman" w:hAnsi="Times New Roman" w:eastAsia="仿宋_GB2312" w:cs="Times New Roman"/>
      <w:sz w:val="32"/>
      <w:szCs w:val="32"/>
    </w:rPr>
  </w:style>
  <w:style w:type="paragraph" w:styleId="9">
    <w:name w:val="List Paragraph"/>
    <w:basedOn w:val="1"/>
    <w:qFormat/>
    <w:uiPriority w:val="34"/>
    <w:pPr>
      <w:ind w:firstLine="420" w:firstLineChars="200"/>
    </w:pPr>
  </w:style>
  <w:style w:type="character" w:customStyle="1" w:styleId="10">
    <w:name w:val="页眉 字符"/>
    <w:basedOn w:val="7"/>
    <w:link w:val="5"/>
    <w:qFormat/>
    <w:uiPriority w:val="99"/>
    <w:rPr>
      <w:rFonts w:ascii="Times New Roman" w:hAnsi="Times New Roman" w:eastAsia="仿宋_GB2312" w:cs="Times New Roman"/>
      <w:sz w:val="18"/>
      <w:szCs w:val="18"/>
    </w:rPr>
  </w:style>
  <w:style w:type="character" w:customStyle="1" w:styleId="11">
    <w:name w:val="页脚 字符"/>
    <w:basedOn w:val="7"/>
    <w:link w:val="4"/>
    <w:qFormat/>
    <w:uiPriority w:val="99"/>
    <w:rPr>
      <w:rFonts w:ascii="Times New Roman" w:hAnsi="Times New Roman" w:eastAsia="仿宋_GB2312" w:cs="Times New Roman"/>
      <w:sz w:val="18"/>
      <w:szCs w:val="18"/>
    </w:rPr>
  </w:style>
  <w:style w:type="paragraph" w:customStyle="1" w:styleId="12">
    <w:name w:val="修订1"/>
    <w:hidden/>
    <w:semiHidden/>
    <w:qFormat/>
    <w:uiPriority w:val="99"/>
    <w:rPr>
      <w:rFonts w:ascii="Times New Roman" w:hAnsi="Times New Roman" w:eastAsia="仿宋_GB2312" w:cs="Times New Roman"/>
      <w:kern w:val="2"/>
      <w:sz w:val="32"/>
      <w:szCs w:val="32"/>
      <w:lang w:val="en-US" w:eastAsia="zh-CN" w:bidi="ar-SA"/>
    </w:rPr>
  </w:style>
  <w:style w:type="paragraph" w:customStyle="1" w:styleId="13">
    <w:name w:val="Revision"/>
    <w:hidden/>
    <w:semiHidden/>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859</Words>
  <Characters>4901</Characters>
  <Lines>40</Lines>
  <Paragraphs>11</Paragraphs>
  <TotalTime>2187</TotalTime>
  <ScaleCrop>false</ScaleCrop>
  <LinksUpToDate>false</LinksUpToDate>
  <CharactersWithSpaces>5749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2023-02-22T00:34:00Z</dcterms:created>
  <dc:creator>王 美玲</dc:creator>
  <cp:lastModifiedBy>user</cp:lastModifiedBy>
  <dcterms:modified xsi:type="dcterms:W3CDTF">2023-04-20T17:01:05Z</dcterms:modified>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9D74A47DB59044DC827F2D99D682A88A</vt:lpwstr>
  </property>
</Properties>
</file>